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2ED55" w14:textId="0E5F3246" w:rsidR="00EE3849" w:rsidRPr="00751881" w:rsidRDefault="00EE3849" w:rsidP="00751881">
      <w:pPr>
        <w:pStyle w:val="NoSpacing"/>
        <w:jc w:val="center"/>
        <w:rPr>
          <w:b/>
          <w:bCs/>
          <w:sz w:val="28"/>
          <w:szCs w:val="28"/>
        </w:rPr>
      </w:pPr>
      <w:bookmarkStart w:id="0" w:name="_GoBack"/>
      <w:bookmarkEnd w:id="0"/>
      <w:r w:rsidRPr="00751881">
        <w:rPr>
          <w:b/>
          <w:bCs/>
          <w:sz w:val="28"/>
          <w:szCs w:val="28"/>
        </w:rPr>
        <w:t>84:1</w:t>
      </w:r>
    </w:p>
    <w:p w14:paraId="75186E89" w14:textId="06E8F391" w:rsidR="00EE3849" w:rsidRPr="00751881" w:rsidRDefault="00EE3849" w:rsidP="00751881">
      <w:pPr>
        <w:pStyle w:val="NoSpacing"/>
        <w:jc w:val="center"/>
        <w:rPr>
          <w:b/>
          <w:bCs/>
          <w:sz w:val="28"/>
          <w:szCs w:val="28"/>
        </w:rPr>
      </w:pPr>
      <w:r w:rsidRPr="00751881">
        <w:rPr>
          <w:b/>
          <w:bCs/>
          <w:sz w:val="28"/>
          <w:szCs w:val="28"/>
        </w:rPr>
        <w:t xml:space="preserve">Table of Contents as of </w:t>
      </w:r>
      <w:r w:rsidR="000344B5" w:rsidRPr="00751881">
        <w:rPr>
          <w:b/>
          <w:bCs/>
          <w:sz w:val="28"/>
          <w:szCs w:val="28"/>
        </w:rPr>
        <w:t>3/5/2021</w:t>
      </w:r>
    </w:p>
    <w:p w14:paraId="746E4206" w14:textId="77777777" w:rsidR="000344B5" w:rsidRDefault="000344B5" w:rsidP="00EE3849">
      <w:pPr>
        <w:pStyle w:val="NoSpacing"/>
      </w:pPr>
    </w:p>
    <w:p w14:paraId="74CFF257" w14:textId="77777777" w:rsidR="00EE3849" w:rsidRDefault="00EE3849" w:rsidP="00EE3849">
      <w:pPr>
        <w:pStyle w:val="NoSpacing"/>
      </w:pPr>
    </w:p>
    <w:p w14:paraId="3D69B24A" w14:textId="7537B2B6" w:rsidR="00AD5C95" w:rsidRPr="00751881" w:rsidRDefault="00EE2CDF" w:rsidP="00EE3849">
      <w:pPr>
        <w:pStyle w:val="NoSpacing"/>
        <w:rPr>
          <w:b/>
          <w:bCs/>
        </w:rPr>
      </w:pPr>
      <w:r w:rsidRPr="00751881">
        <w:rPr>
          <w:b/>
          <w:bCs/>
        </w:rPr>
        <w:t>Meredith Evans</w:t>
      </w:r>
    </w:p>
    <w:p w14:paraId="1B1152F1" w14:textId="5CAD70DF" w:rsidR="00EE2CDF" w:rsidRPr="00751881" w:rsidRDefault="00EE2CDF" w:rsidP="00EE3849">
      <w:pPr>
        <w:pStyle w:val="NoSpacing"/>
        <w:rPr>
          <w:b/>
          <w:bCs/>
        </w:rPr>
      </w:pPr>
      <w:r w:rsidRPr="00751881">
        <w:rPr>
          <w:b/>
          <w:bCs/>
        </w:rPr>
        <w:t>Presidential Address – WE Are SAA!</w:t>
      </w:r>
    </w:p>
    <w:p w14:paraId="04CFF082" w14:textId="51C0B835" w:rsidR="00EE2CDF" w:rsidRDefault="00EE2CDF" w:rsidP="00EE3849">
      <w:pPr>
        <w:pStyle w:val="NoSpacing"/>
      </w:pPr>
    </w:p>
    <w:p w14:paraId="6967AC28" w14:textId="0751CB23" w:rsidR="00EE3849" w:rsidRDefault="00EE3849" w:rsidP="00EE3849">
      <w:pPr>
        <w:pStyle w:val="NoSpacing"/>
      </w:pPr>
      <w:r>
        <w:t>Note: This is a relatively lightly-edited version of the text of Evans’ speech.  She was deliberate in wishing to include this as her address, rather than revising it into a more traditional article format.</w:t>
      </w:r>
    </w:p>
    <w:p w14:paraId="61CC5F7C" w14:textId="67EABE13" w:rsidR="00EE3849" w:rsidRDefault="00EE3849" w:rsidP="00EE3849">
      <w:pPr>
        <w:pStyle w:val="NoSpacing"/>
      </w:pPr>
    </w:p>
    <w:p w14:paraId="338AE03B" w14:textId="2F5229EB" w:rsidR="00EE3849" w:rsidRPr="00751881" w:rsidRDefault="00EE3849" w:rsidP="00EE3849">
      <w:pPr>
        <w:pStyle w:val="NoSpacing"/>
        <w:rPr>
          <w:b/>
          <w:bCs/>
        </w:rPr>
      </w:pPr>
      <w:r w:rsidRPr="00751881">
        <w:rPr>
          <w:b/>
          <w:bCs/>
        </w:rPr>
        <w:t>Abstract:</w:t>
      </w:r>
    </w:p>
    <w:p w14:paraId="141BFF8D" w14:textId="77777777" w:rsidR="00EE2CDF" w:rsidRDefault="00EE2CDF" w:rsidP="00EE3849">
      <w:pPr>
        <w:pStyle w:val="NoSpacing"/>
        <w:rPr>
          <w:szCs w:val="24"/>
        </w:rPr>
      </w:pPr>
      <w:r>
        <w:rPr>
          <w:szCs w:val="24"/>
        </w:rPr>
        <w:t>“Dr. Meredith Evans, 74</w:t>
      </w:r>
      <w:r>
        <w:rPr>
          <w:szCs w:val="24"/>
          <w:vertAlign w:val="superscript"/>
        </w:rPr>
        <w:t>th</w:t>
      </w:r>
      <w:r>
        <w:rPr>
          <w:szCs w:val="24"/>
        </w:rPr>
        <w:t xml:space="preserve"> President of the Society of American Archivists, delivered this Presidential Address as a part of the SAA Annual Meeting, on August 7, 2020.  Due to the global pandemic, the meeting was held in a virtual format, and she delivered her address via tele-conference.”</w:t>
      </w:r>
    </w:p>
    <w:p w14:paraId="23676CAC" w14:textId="77777777" w:rsidR="00EE3849" w:rsidRDefault="00EE3849" w:rsidP="00EE3849">
      <w:pPr>
        <w:pStyle w:val="NoSpacing"/>
      </w:pPr>
    </w:p>
    <w:p w14:paraId="1992C062" w14:textId="0638EDC4" w:rsidR="00EE2CDF" w:rsidRDefault="00EE2CDF" w:rsidP="00EE3849">
      <w:pPr>
        <w:pStyle w:val="NoSpacing"/>
      </w:pPr>
      <w:r w:rsidRPr="00751881">
        <w:rPr>
          <w:b/>
          <w:bCs/>
          <w:szCs w:val="24"/>
        </w:rPr>
        <w:t>Keywords:</w:t>
      </w:r>
      <w:r w:rsidR="000344B5">
        <w:rPr>
          <w:szCs w:val="24"/>
        </w:rPr>
        <w:t xml:space="preserve"> </w:t>
      </w:r>
      <w:r>
        <w:rPr>
          <w:szCs w:val="24"/>
        </w:rPr>
        <w:t xml:space="preserve"> archival advocacy; archival practice; presidential address; </w:t>
      </w:r>
    </w:p>
    <w:p w14:paraId="0BB1219C" w14:textId="1B559F5E" w:rsidR="00AD5C95" w:rsidRDefault="00AD5C95" w:rsidP="00EE3849">
      <w:pPr>
        <w:pStyle w:val="NoSpacing"/>
      </w:pPr>
    </w:p>
    <w:p w14:paraId="3DD96AB3" w14:textId="77777777" w:rsidR="000344B5" w:rsidRDefault="000344B5" w:rsidP="000344B5">
      <w:pPr>
        <w:pStyle w:val="NoSpacing"/>
      </w:pPr>
      <w:r>
        <w:t>***************************************</w:t>
      </w:r>
    </w:p>
    <w:p w14:paraId="58DF27E6" w14:textId="77777777" w:rsidR="000344B5" w:rsidRPr="00751881" w:rsidRDefault="000344B5" w:rsidP="000344B5">
      <w:pPr>
        <w:pStyle w:val="NoSpacing"/>
        <w:rPr>
          <w:b/>
          <w:bCs/>
        </w:rPr>
      </w:pPr>
      <w:r w:rsidRPr="00751881">
        <w:rPr>
          <w:b/>
          <w:bCs/>
        </w:rPr>
        <w:t>Adele Fournet</w:t>
      </w:r>
    </w:p>
    <w:p w14:paraId="20B7C759" w14:textId="77777777" w:rsidR="000344B5" w:rsidRPr="00751881" w:rsidRDefault="000344B5" w:rsidP="000344B5">
      <w:pPr>
        <w:pStyle w:val="NoSpacing"/>
        <w:rPr>
          <w:rFonts w:ascii="Times" w:eastAsia="Times" w:hAnsi="Times" w:cs="Times"/>
          <w:b/>
          <w:bCs/>
          <w:szCs w:val="24"/>
        </w:rPr>
      </w:pPr>
      <w:r w:rsidRPr="00751881">
        <w:rPr>
          <w:rFonts w:ascii="Times" w:eastAsia="Times" w:hAnsi="Times" w:cs="Times"/>
          <w:b/>
          <w:bCs/>
          <w:i/>
          <w:szCs w:val="24"/>
        </w:rPr>
        <w:t>Bit Rosie</w:t>
      </w:r>
      <w:r w:rsidRPr="00751881">
        <w:rPr>
          <w:rFonts w:ascii="Times" w:eastAsia="Times" w:hAnsi="Times" w:cs="Times"/>
          <w:b/>
          <w:bCs/>
          <w:szCs w:val="24"/>
        </w:rPr>
        <w:t>: A Case Study in Transforming Web-Based Multimedia Research into Digital Archives</w:t>
      </w:r>
    </w:p>
    <w:p w14:paraId="45677314" w14:textId="77777777" w:rsidR="000344B5" w:rsidRDefault="000344B5" w:rsidP="000344B5">
      <w:pPr>
        <w:pStyle w:val="NoSpacing"/>
        <w:rPr>
          <w:rFonts w:ascii="Times" w:eastAsia="Times" w:hAnsi="Times" w:cs="Times"/>
          <w:szCs w:val="24"/>
        </w:rPr>
      </w:pPr>
    </w:p>
    <w:p w14:paraId="2CB6A6A0" w14:textId="77777777" w:rsidR="000344B5" w:rsidRPr="00751881" w:rsidRDefault="000344B5" w:rsidP="000344B5">
      <w:pPr>
        <w:pStyle w:val="NoSpacing"/>
        <w:rPr>
          <w:rFonts w:ascii="Times" w:eastAsia="Times" w:hAnsi="Times" w:cs="Times"/>
          <w:b/>
          <w:bCs/>
          <w:szCs w:val="24"/>
        </w:rPr>
      </w:pPr>
      <w:r w:rsidRPr="00751881">
        <w:rPr>
          <w:rFonts w:ascii="Times" w:eastAsia="Times" w:hAnsi="Times" w:cs="Times"/>
          <w:b/>
          <w:bCs/>
          <w:szCs w:val="24"/>
        </w:rPr>
        <w:t>ABSTRACT</w:t>
      </w:r>
    </w:p>
    <w:p w14:paraId="3A7F2D90" w14:textId="77777777" w:rsidR="000344B5" w:rsidRDefault="000344B5" w:rsidP="000344B5">
      <w:pPr>
        <w:pStyle w:val="NoSpacing"/>
        <w:rPr>
          <w:rFonts w:ascii="Times" w:eastAsia="Times" w:hAnsi="Times" w:cs="Times"/>
          <w:szCs w:val="24"/>
        </w:rPr>
      </w:pPr>
      <w:r>
        <w:rPr>
          <w:rFonts w:ascii="Times" w:eastAsia="Times" w:hAnsi="Times" w:cs="Times"/>
          <w:szCs w:val="24"/>
        </w:rPr>
        <w:t xml:space="preserve">This article is a case study in transforming web-based multimedia research initiatives into digital institutional archives in order to safeguard against the unstable nature of the Internet as a long-term historical medium.  The study examines the </w:t>
      </w:r>
      <w:r>
        <w:rPr>
          <w:rFonts w:ascii="Times" w:eastAsia="Times" w:hAnsi="Times" w:cs="Times"/>
          <w:i/>
          <w:szCs w:val="24"/>
        </w:rPr>
        <w:t>Bit Rosie</w:t>
      </w:r>
      <w:r>
        <w:rPr>
          <w:rFonts w:ascii="Times" w:eastAsia="Times" w:hAnsi="Times" w:cs="Times"/>
          <w:szCs w:val="24"/>
        </w:rPr>
        <w:t xml:space="preserve"> digital archive at the New York University library, which was created as a collaboration between a doctoral researcher in ethnomusicology and the head music librarian at the Avery Fisher Center for Music and Media.  The article analyzes how the </w:t>
      </w:r>
      <w:r>
        <w:rPr>
          <w:rFonts w:ascii="Times" w:eastAsia="Times" w:hAnsi="Times" w:cs="Times"/>
          <w:i/>
          <w:szCs w:val="24"/>
        </w:rPr>
        <w:t>Bit Rosie</w:t>
      </w:r>
      <w:r>
        <w:rPr>
          <w:rFonts w:ascii="Times" w:eastAsia="Times" w:hAnsi="Times" w:cs="Times"/>
          <w:szCs w:val="24"/>
        </w:rPr>
        <w:t xml:space="preserve"> archive implements elements of both feminist and activist archival practice in a born-digital context in order to integrate overlooked women and gender non-confomring producers into the archive of recorded music industry.   The case study illustrates how collaboration between cultural creators, researchers, and archivists can give cultural legitimacy and longevity to projects and voices of cultural resistance in the Internet era.   To conclude, the article suggests that more researchers and university libraries can use this case study as a model in setting up institutional archival homes for the increasing number of multimedia initiatives and projects blossoming throughout the humanities and social sciences.  </w:t>
      </w:r>
    </w:p>
    <w:p w14:paraId="71D2E864" w14:textId="77777777" w:rsidR="000344B5" w:rsidRDefault="000344B5" w:rsidP="000344B5">
      <w:pPr>
        <w:pStyle w:val="NoSpacing"/>
        <w:rPr>
          <w:rFonts w:ascii="Times" w:eastAsia="Times" w:hAnsi="Times" w:cs="Times"/>
          <w:szCs w:val="24"/>
        </w:rPr>
      </w:pPr>
    </w:p>
    <w:p w14:paraId="432A48CD" w14:textId="3ACDAAB0" w:rsidR="000344B5" w:rsidRDefault="000344B5" w:rsidP="000344B5">
      <w:pPr>
        <w:pStyle w:val="NoSpacing"/>
        <w:rPr>
          <w:rFonts w:ascii="Times" w:eastAsia="Times" w:hAnsi="Times" w:cs="Times"/>
          <w:b/>
          <w:szCs w:val="24"/>
        </w:rPr>
      </w:pPr>
      <w:r>
        <w:rPr>
          <w:rFonts w:ascii="Times" w:eastAsia="Times" w:hAnsi="Times" w:cs="Times"/>
          <w:b/>
          <w:szCs w:val="24"/>
        </w:rPr>
        <w:t>Key Words</w:t>
      </w:r>
    </w:p>
    <w:p w14:paraId="4837BFB5" w14:textId="77777777" w:rsidR="000344B5" w:rsidRDefault="000344B5" w:rsidP="000344B5">
      <w:pPr>
        <w:pStyle w:val="NoSpacing"/>
        <w:rPr>
          <w:rFonts w:ascii="Times" w:eastAsia="Times" w:hAnsi="Times" w:cs="Times"/>
          <w:b/>
          <w:szCs w:val="24"/>
        </w:rPr>
      </w:pPr>
      <w:r>
        <w:rPr>
          <w:rFonts w:ascii="Times" w:eastAsia="Times" w:hAnsi="Times" w:cs="Times"/>
          <w:szCs w:val="24"/>
        </w:rPr>
        <w:t>Female music producers, collaborative digital archives, case study, music archives, feminist archives, activist archivy, digital humanities, multimedia research, Internet archives, Archive-It, home studio music production, women artist archives, born-digital archives, archive creation, feminist methodology, archive appraisal, embedded curators, accessibility, canonization</w:t>
      </w:r>
    </w:p>
    <w:p w14:paraId="1DC2576D" w14:textId="77777777" w:rsidR="000344B5" w:rsidRDefault="000344B5" w:rsidP="000344B5">
      <w:pPr>
        <w:pStyle w:val="NoSpacing"/>
      </w:pPr>
    </w:p>
    <w:p w14:paraId="10CA5B80" w14:textId="77777777" w:rsidR="00C766FD" w:rsidRDefault="00C766FD" w:rsidP="00C766FD">
      <w:pPr>
        <w:pStyle w:val="NoSpacing"/>
      </w:pPr>
    </w:p>
    <w:p w14:paraId="60CCC37A" w14:textId="2FB368DB" w:rsidR="00C766FD" w:rsidRPr="00C766FD" w:rsidRDefault="00C766FD" w:rsidP="00C766FD">
      <w:pPr>
        <w:pStyle w:val="NoSpacing"/>
        <w:rPr>
          <w:b/>
          <w:bCs/>
        </w:rPr>
      </w:pPr>
      <w:r w:rsidRPr="00C766FD">
        <w:rPr>
          <w:b/>
          <w:bCs/>
        </w:rPr>
        <w:t>Donald C. Force</w:t>
      </w:r>
    </w:p>
    <w:p w14:paraId="32F9AECB" w14:textId="77777777" w:rsidR="00C766FD" w:rsidRPr="00C766FD" w:rsidRDefault="00C766FD" w:rsidP="00C766FD">
      <w:pPr>
        <w:pStyle w:val="NoSpacing"/>
        <w:rPr>
          <w:b/>
          <w:bCs/>
        </w:rPr>
      </w:pPr>
      <w:r w:rsidRPr="00C766FD">
        <w:rPr>
          <w:b/>
          <w:bCs/>
        </w:rPr>
        <w:t>Randy Smith</w:t>
      </w:r>
    </w:p>
    <w:p w14:paraId="0F4F89ED" w14:textId="77777777" w:rsidR="001771F8" w:rsidRPr="00C766FD" w:rsidRDefault="001771F8" w:rsidP="00EE3849">
      <w:pPr>
        <w:pStyle w:val="NoSpacing"/>
        <w:rPr>
          <w:b/>
          <w:bCs/>
          <w:sz w:val="22"/>
        </w:rPr>
      </w:pPr>
      <w:r w:rsidRPr="00C766FD">
        <w:rPr>
          <w:b/>
          <w:bCs/>
        </w:rPr>
        <w:t>Context Lost: Digital Surrogates, Their Physical Counterparts, and the Metadata that is Keeping Them Apart</w:t>
      </w:r>
    </w:p>
    <w:p w14:paraId="796AF022" w14:textId="77777777" w:rsidR="001771F8" w:rsidRDefault="001771F8" w:rsidP="00EE3849">
      <w:pPr>
        <w:pStyle w:val="NoSpacing"/>
      </w:pPr>
    </w:p>
    <w:p w14:paraId="63841A5D" w14:textId="3E24EAFB" w:rsidR="001771F8" w:rsidRDefault="001771F8" w:rsidP="00EE3849">
      <w:pPr>
        <w:pStyle w:val="NoSpacing"/>
      </w:pPr>
      <w:r>
        <w:rPr>
          <w:b/>
        </w:rPr>
        <w:t>Abstract:</w:t>
      </w:r>
      <w:r>
        <w:t xml:space="preserve"> The digitization of archival collections have become ubiquitous in the modern age. Contrary to the prevalence and popularity of these virtual collections, they are not without their limitations. The relationship between digital surrogates and their original objects has not been sufficiently addressed by archivists. This article reviews a project undertaken by the authors that examined forty-two digitized archival collections from seven Midwestern states. The study sought to determine whether digital surrogates included sufficient metadata to enable the viewer to understand that the virtual object is a representation of a physical object, that the physical object may be accessed, and that the physical object is part of a larger collection. The article concludes that the metadata fields used to describe digital surrogates varied across repositories, as well as within the institutions; and that there is very little metadata that provides strong connections between the virtual images and the physical materials they represent. We conclude by providing recommendations for how archivists may improve the linkages between digital surrogates and their physical counterparts.</w:t>
      </w:r>
    </w:p>
    <w:p w14:paraId="295782D7" w14:textId="77777777" w:rsidR="00C766FD" w:rsidRDefault="00C766FD" w:rsidP="00EE3849">
      <w:pPr>
        <w:pStyle w:val="NoSpacing"/>
      </w:pPr>
    </w:p>
    <w:p w14:paraId="556ACBB4" w14:textId="4074FC83" w:rsidR="001771F8" w:rsidRDefault="00267DCE" w:rsidP="00EE3849">
      <w:pPr>
        <w:pStyle w:val="NoSpacing"/>
      </w:pPr>
      <w:r>
        <w:t>********************************************************</w:t>
      </w:r>
    </w:p>
    <w:p w14:paraId="06686A83" w14:textId="2ECA5228" w:rsidR="00260B4A" w:rsidRDefault="00260B4A" w:rsidP="00EE3849">
      <w:pPr>
        <w:pStyle w:val="NoSpacing"/>
      </w:pPr>
    </w:p>
    <w:p w14:paraId="1EA111DF" w14:textId="77777777" w:rsidR="00737090" w:rsidRPr="0092441E" w:rsidRDefault="00737090" w:rsidP="00737090">
      <w:pPr>
        <w:pStyle w:val="NoSpacing"/>
        <w:rPr>
          <w:b/>
          <w:bCs/>
        </w:rPr>
      </w:pPr>
      <w:r w:rsidRPr="0092441E">
        <w:rPr>
          <w:b/>
          <w:bCs/>
        </w:rPr>
        <w:t>Kim Anderson</w:t>
      </w:r>
    </w:p>
    <w:p w14:paraId="243765DD" w14:textId="77777777" w:rsidR="00737090" w:rsidRPr="0092441E" w:rsidRDefault="00737090" w:rsidP="00737090">
      <w:pPr>
        <w:pStyle w:val="NoSpacing"/>
        <w:rPr>
          <w:b/>
          <w:bCs/>
        </w:rPr>
      </w:pPr>
      <w:r w:rsidRPr="0092441E">
        <w:rPr>
          <w:b/>
          <w:bCs/>
        </w:rPr>
        <w:t>Jessica Maddox</w:t>
      </w:r>
    </w:p>
    <w:p w14:paraId="7C4B9E8E" w14:textId="77777777" w:rsidR="00737090" w:rsidRPr="0092441E" w:rsidRDefault="00737090" w:rsidP="00737090">
      <w:pPr>
        <w:pStyle w:val="NoSpacing"/>
        <w:rPr>
          <w:rFonts w:cs="Times New Roman"/>
          <w:b/>
          <w:bCs/>
          <w:szCs w:val="24"/>
        </w:rPr>
      </w:pPr>
      <w:r w:rsidRPr="0092441E">
        <w:rPr>
          <w:rFonts w:cs="Times New Roman"/>
          <w:b/>
          <w:bCs/>
          <w:szCs w:val="24"/>
        </w:rPr>
        <w:t>Surveying as Unsettlement: The Protocols Alignment Survey at the University of Nevada, Reno Libraries</w:t>
      </w:r>
    </w:p>
    <w:p w14:paraId="7C0EB487" w14:textId="77777777" w:rsidR="00737090" w:rsidRDefault="00737090" w:rsidP="00737090">
      <w:pPr>
        <w:pStyle w:val="NoSpacing"/>
        <w:rPr>
          <w:rFonts w:cs="Times New Roman"/>
          <w:szCs w:val="24"/>
        </w:rPr>
      </w:pPr>
    </w:p>
    <w:p w14:paraId="5B30A47D" w14:textId="77777777" w:rsidR="00737090" w:rsidRPr="0092441E" w:rsidRDefault="00737090" w:rsidP="00737090">
      <w:pPr>
        <w:pStyle w:val="NoSpacing"/>
        <w:rPr>
          <w:rFonts w:cs="Times New Roman"/>
          <w:b/>
          <w:bCs/>
        </w:rPr>
      </w:pPr>
      <w:r w:rsidRPr="0092441E">
        <w:rPr>
          <w:rFonts w:cs="Times New Roman"/>
          <w:b/>
          <w:bCs/>
        </w:rPr>
        <w:t>ABSTRACT</w:t>
      </w:r>
    </w:p>
    <w:p w14:paraId="74233C94" w14:textId="77777777" w:rsidR="00737090" w:rsidRDefault="00737090" w:rsidP="00737090">
      <w:pPr>
        <w:pStyle w:val="NoSpacing"/>
        <w:rPr>
          <w:rFonts w:cs="Times New Roman"/>
        </w:rPr>
      </w:pPr>
      <w:r>
        <w:rPr>
          <w:rFonts w:cs="Times New Roman"/>
        </w:rPr>
        <w:t>This article describes a collections survey project undertaken by the staff of the University of Nevada, Reno Libraries Special Collections and University Archives Department to begin the archives’ alignment with the Protocols for Native American Archival Materials. The method devised to survey the collection is assessed for its adaptability as a transferable method. The analysis of the Protocols alignment survey as a case study also offers insights about critical self-reflection and ways for non-Indigenous archivists to strive towards social justice and Protocols alignment using existing discovery and description frameworks as a starting point.</w:t>
      </w:r>
    </w:p>
    <w:p w14:paraId="06D7EC8F" w14:textId="77777777" w:rsidR="00737090" w:rsidRDefault="00737090" w:rsidP="00737090">
      <w:pPr>
        <w:pStyle w:val="NoSpacing"/>
        <w:rPr>
          <w:rFonts w:cs="Times New Roman"/>
        </w:rPr>
      </w:pPr>
    </w:p>
    <w:p w14:paraId="249AE7EB" w14:textId="77777777" w:rsidR="00737090" w:rsidRDefault="00737090" w:rsidP="00737090">
      <w:pPr>
        <w:pStyle w:val="NoSpacing"/>
        <w:rPr>
          <w:rFonts w:cs="Times New Roman"/>
        </w:rPr>
      </w:pPr>
      <w:r w:rsidRPr="0092441E">
        <w:rPr>
          <w:rFonts w:cs="Times New Roman"/>
          <w:b/>
          <w:bCs/>
        </w:rPr>
        <w:t>Keywords:</w:t>
      </w:r>
      <w:r>
        <w:rPr>
          <w:rFonts w:cs="Times New Roman"/>
        </w:rPr>
        <w:t xml:space="preserve"> Protocols for Native American Archival Materials, equity, diversity, collections management, surveying, Settler colonial archives, critical practice, Archival best practices, Indigenous Peoples, ethnographic records, stewardship </w:t>
      </w:r>
    </w:p>
    <w:p w14:paraId="22BE95C9" w14:textId="65BFDE29" w:rsidR="0092441E" w:rsidRDefault="0092441E" w:rsidP="00EE3849">
      <w:pPr>
        <w:pStyle w:val="NoSpacing"/>
      </w:pPr>
    </w:p>
    <w:p w14:paraId="0CBAC927" w14:textId="127AB3A4" w:rsidR="00737090" w:rsidRDefault="00737090" w:rsidP="00EE3849">
      <w:pPr>
        <w:pStyle w:val="NoSpacing"/>
      </w:pPr>
      <w:r>
        <w:t>******************************************************************</w:t>
      </w:r>
    </w:p>
    <w:p w14:paraId="7D0DAED4" w14:textId="084A582C" w:rsidR="0092441E" w:rsidRDefault="0092441E" w:rsidP="00EE3849">
      <w:pPr>
        <w:pStyle w:val="NoSpacing"/>
      </w:pPr>
    </w:p>
    <w:p w14:paraId="27254F4D" w14:textId="5D60031B" w:rsidR="00737090" w:rsidRDefault="00737090" w:rsidP="00EE3849">
      <w:pPr>
        <w:pStyle w:val="NoSpacing"/>
      </w:pPr>
    </w:p>
    <w:p w14:paraId="4763FD3F" w14:textId="77777777" w:rsidR="00737090" w:rsidRDefault="00737090" w:rsidP="00EE3849">
      <w:pPr>
        <w:pStyle w:val="NoSpacing"/>
      </w:pPr>
    </w:p>
    <w:p w14:paraId="42009E5C" w14:textId="77777777" w:rsidR="0092441E" w:rsidRPr="00C766FD" w:rsidRDefault="0092441E" w:rsidP="0092441E">
      <w:pPr>
        <w:pStyle w:val="NoSpacing"/>
        <w:rPr>
          <w:b/>
          <w:bCs/>
        </w:rPr>
      </w:pPr>
      <w:r w:rsidRPr="00C766FD">
        <w:rPr>
          <w:b/>
          <w:bCs/>
        </w:rPr>
        <w:lastRenderedPageBreak/>
        <w:t xml:space="preserve">Marsha Gordon </w:t>
      </w:r>
    </w:p>
    <w:p w14:paraId="2CC7FACD" w14:textId="77777777" w:rsidR="0092441E" w:rsidRPr="00C766FD" w:rsidRDefault="0092441E" w:rsidP="0092441E">
      <w:pPr>
        <w:pStyle w:val="NoSpacing"/>
        <w:rPr>
          <w:b/>
          <w:bCs/>
        </w:rPr>
      </w:pPr>
      <w:r w:rsidRPr="00C766FD">
        <w:rPr>
          <w:b/>
          <w:bCs/>
        </w:rPr>
        <w:t xml:space="preserve">Dino Everett </w:t>
      </w:r>
    </w:p>
    <w:p w14:paraId="0EED59FA" w14:textId="77777777" w:rsidR="0092441E" w:rsidRPr="00C766FD" w:rsidRDefault="0092441E" w:rsidP="0092441E">
      <w:pPr>
        <w:pStyle w:val="NoSpacing"/>
        <w:rPr>
          <w:b/>
          <w:bCs/>
        </w:rPr>
      </w:pPr>
      <w:r w:rsidRPr="00C766FD">
        <w:rPr>
          <w:b/>
          <w:bCs/>
        </w:rPr>
        <w:t>“Dusting Off That Old Projector: Preservation Through Projection”</w:t>
      </w:r>
    </w:p>
    <w:p w14:paraId="42A17495" w14:textId="77777777" w:rsidR="0092441E" w:rsidRDefault="0092441E" w:rsidP="0092441E">
      <w:pPr>
        <w:pStyle w:val="NoSpacing"/>
      </w:pPr>
    </w:p>
    <w:p w14:paraId="7C0C81FA" w14:textId="77777777" w:rsidR="0092441E" w:rsidRDefault="0092441E" w:rsidP="0092441E">
      <w:pPr>
        <w:pStyle w:val="NoSpacing"/>
        <w:rPr>
          <w:b/>
          <w:bCs/>
        </w:rPr>
      </w:pPr>
      <w:r>
        <w:rPr>
          <w:b/>
          <w:bCs/>
        </w:rPr>
        <w:t>Abstract:</w:t>
      </w:r>
    </w:p>
    <w:p w14:paraId="06E33EBF" w14:textId="0A8E6200" w:rsidR="0092441E" w:rsidRDefault="0092441E" w:rsidP="0092441E">
      <w:pPr>
        <w:pStyle w:val="NoSpacing"/>
      </w:pPr>
      <w:r>
        <w:t>“Dusting Off That Old Projector: Preservation Through Projection” makes the case that libraries, archives, and museums that hold film prints and historic projectors—especially rarities and one-offs developed for nontheatrical use—should project films in an effort to preserve and perpetuate knowledge about film history and technology.  The authors use the success of Home Movie Day as a model for thinking about preservation through projection, which questions absolutist protective strategies in an effort to expand the way that the public, archivists, and scholars think about the significance of unusual film formats to film history.</w:t>
      </w:r>
    </w:p>
    <w:p w14:paraId="13525F9D" w14:textId="77777777" w:rsidR="000437C1" w:rsidRDefault="000437C1" w:rsidP="0092441E">
      <w:pPr>
        <w:pStyle w:val="NoSpacing"/>
      </w:pPr>
    </w:p>
    <w:p w14:paraId="4CD6B002" w14:textId="77777777" w:rsidR="000437C1" w:rsidRDefault="000437C1" w:rsidP="000437C1">
      <w:pPr>
        <w:pStyle w:val="NoSpacing"/>
        <w:rPr>
          <w:b/>
          <w:bCs/>
        </w:rPr>
      </w:pPr>
      <w:r>
        <w:rPr>
          <w:b/>
          <w:bCs/>
        </w:rPr>
        <w:t>Keywords:</w:t>
      </w:r>
    </w:p>
    <w:p w14:paraId="632B2DF1" w14:textId="77777777" w:rsidR="000437C1" w:rsidRDefault="000437C1" w:rsidP="000437C1">
      <w:pPr>
        <w:pStyle w:val="NoSpacing"/>
      </w:pPr>
      <w:r>
        <w:t>film archives, film archiving, film archivist, preservation, film preservation, film history, film technology, nontheatrical film, small gauge film, film projection</w:t>
      </w:r>
    </w:p>
    <w:p w14:paraId="56EAE0A7" w14:textId="77777777" w:rsidR="0092441E" w:rsidRDefault="0092441E" w:rsidP="0092441E">
      <w:pPr>
        <w:pStyle w:val="NoSpacing"/>
      </w:pPr>
    </w:p>
    <w:p w14:paraId="0BB95A83" w14:textId="77777777" w:rsidR="0092441E" w:rsidRDefault="0092441E" w:rsidP="0092441E">
      <w:pPr>
        <w:pStyle w:val="NoSpacing"/>
      </w:pPr>
      <w:r>
        <w:t>**********************************************************</w:t>
      </w:r>
    </w:p>
    <w:p w14:paraId="0613D5E0" w14:textId="77777777" w:rsidR="0092441E" w:rsidRDefault="0092441E" w:rsidP="00EE3849">
      <w:pPr>
        <w:pStyle w:val="NoSpacing"/>
      </w:pPr>
    </w:p>
    <w:p w14:paraId="78C020CA" w14:textId="7043E272" w:rsidR="00260B4A" w:rsidRPr="00C766FD" w:rsidRDefault="00267DCE" w:rsidP="00EE3849">
      <w:pPr>
        <w:pStyle w:val="NoSpacing"/>
        <w:rPr>
          <w:b/>
          <w:bCs/>
        </w:rPr>
      </w:pPr>
      <w:r w:rsidRPr="00C766FD">
        <w:rPr>
          <w:b/>
          <w:bCs/>
        </w:rPr>
        <w:t>Bace, Martha</w:t>
      </w:r>
    </w:p>
    <w:p w14:paraId="77532666" w14:textId="437AABEE" w:rsidR="00267DCE" w:rsidRPr="00C766FD" w:rsidRDefault="00267DCE" w:rsidP="00EE3849">
      <w:pPr>
        <w:pStyle w:val="NoSpacing"/>
        <w:rPr>
          <w:b/>
          <w:bCs/>
        </w:rPr>
      </w:pPr>
      <w:r w:rsidRPr="00C766FD">
        <w:rPr>
          <w:b/>
          <w:bCs/>
        </w:rPr>
        <w:t>How to Wrangle Multiple Discrete collections from one Donor : A Case Study of the Subject-based Physical and Digital Consolidation of the Wade Hall Collections</w:t>
      </w:r>
    </w:p>
    <w:p w14:paraId="6C9DFCB8" w14:textId="77777777" w:rsidR="00260B4A" w:rsidRDefault="00260B4A" w:rsidP="00EE3849">
      <w:pPr>
        <w:pStyle w:val="NoSpacing"/>
      </w:pPr>
    </w:p>
    <w:p w14:paraId="49758357" w14:textId="77777777" w:rsidR="00260B4A" w:rsidRDefault="00260B4A" w:rsidP="00EE3849">
      <w:pPr>
        <w:pStyle w:val="NoSpacing"/>
        <w:rPr>
          <w:rFonts w:ascii="Times New Roman" w:hAnsi="Times New Roman" w:cs="Times New Roman"/>
          <w:b/>
          <w:szCs w:val="24"/>
        </w:rPr>
      </w:pPr>
      <w:r>
        <w:rPr>
          <w:rFonts w:ascii="Times New Roman" w:hAnsi="Times New Roman" w:cs="Times New Roman"/>
          <w:b/>
          <w:szCs w:val="24"/>
        </w:rPr>
        <w:t>Abstract</w:t>
      </w:r>
    </w:p>
    <w:p w14:paraId="3C3C7653" w14:textId="77777777" w:rsidR="00260B4A" w:rsidRDefault="00260B4A" w:rsidP="00EE3849">
      <w:pPr>
        <w:pStyle w:val="NoSpacing"/>
        <w:rPr>
          <w:rFonts w:ascii="Times New Roman" w:hAnsi="Times New Roman" w:cs="Times New Roman"/>
          <w:szCs w:val="24"/>
        </w:rPr>
      </w:pPr>
      <w:r>
        <w:rPr>
          <w:rFonts w:ascii="Times New Roman" w:hAnsi="Times New Roman" w:cs="Times New Roman"/>
          <w:szCs w:val="24"/>
          <w:shd w:val="clear" w:color="auto" w:fill="FFFFFF"/>
        </w:rPr>
        <w:t xml:space="preserve">We examine the Wade Hall Consolidation Project at The University of Alabama Libraries Special Collections. The project involved the physical consolidation of more than 1,400 small, discrete collections donated by Wade Hall into larger subject-based collections along with the merger of 287 existing digital collections to mirror the physical arrangement. This project’s goal was to improve access to and discovery of these collections by researchers. During physical consolidation, the archivists created subject-based collections with new finding aids and addressed issues including unclear provenance, legacy descriptions, inaccurate metadata, varying levels of processing, and lack of alignment with current archival best practices and standards. Digital consolidation of existing digital collections coincided with the migration to a new digital asset management system and presented its own challenges, including legacy descriptions, metadata transformation, digital preservation, and dealing with existing metadata shared on the Digital Public Library of America (DPLA) and other </w:t>
      </w:r>
      <w:r>
        <w:rPr>
          <w:rFonts w:ascii="Times New Roman" w:hAnsi="Times New Roman" w:cs="Times New Roman"/>
          <w:szCs w:val="24"/>
        </w:rPr>
        <w:t xml:space="preserve">multi-institutional digital content aggregators. We </w:t>
      </w:r>
      <w:r>
        <w:rPr>
          <w:rFonts w:ascii="Times New Roman" w:hAnsi="Times New Roman" w:cs="Times New Roman"/>
          <w:szCs w:val="24"/>
          <w:shd w:val="clear" w:color="auto" w:fill="FFFFFF"/>
        </w:rPr>
        <w:t xml:space="preserve">seek to </w:t>
      </w:r>
      <w:r>
        <w:rPr>
          <w:rFonts w:ascii="Times New Roman" w:hAnsi="Times New Roman" w:cs="Times New Roman"/>
          <w:szCs w:val="24"/>
        </w:rPr>
        <w:t>fill the gap in the literature concerning the consolidation of physical and digital collections and provide guidance to others considering a consolidation project.</w:t>
      </w:r>
    </w:p>
    <w:p w14:paraId="41BF9A46" w14:textId="145B92B7" w:rsidR="001771F8" w:rsidRDefault="001771F8" w:rsidP="00EE3849">
      <w:pPr>
        <w:pStyle w:val="NoSpacing"/>
      </w:pPr>
    </w:p>
    <w:p w14:paraId="101AC16C" w14:textId="60D20005" w:rsidR="001771F8" w:rsidRDefault="001771F8" w:rsidP="00EE3849">
      <w:pPr>
        <w:pStyle w:val="NoSpacing"/>
        <w:rPr>
          <w:rFonts w:ascii="Times New Roman" w:eastAsia="Times New Roman" w:hAnsi="Times New Roman" w:cs="Times New Roman"/>
          <w:szCs w:val="24"/>
        </w:rPr>
      </w:pPr>
      <w:r>
        <w:rPr>
          <w:rFonts w:ascii="Times New Roman" w:hAnsi="Times New Roman" w:cs="Times New Roman"/>
          <w:b/>
          <w:bCs/>
          <w:szCs w:val="24"/>
        </w:rPr>
        <w:t xml:space="preserve">KEYWORDS: </w:t>
      </w:r>
      <w:r>
        <w:rPr>
          <w:rFonts w:ascii="Times New Roman" w:eastAsia="Times New Roman" w:hAnsi="Times New Roman" w:cs="Times New Roman"/>
          <w:szCs w:val="24"/>
        </w:rPr>
        <w:t>Subject-based arrangement,</w:t>
      </w:r>
      <w:r>
        <w:rPr>
          <w:rFonts w:ascii="Times New Roman" w:hAnsi="Times New Roman" w:cs="Times New Roman"/>
          <w:bCs/>
          <w:szCs w:val="24"/>
        </w:rPr>
        <w:t xml:space="preserve"> Consolidation, Legacy d</w:t>
      </w:r>
      <w:r>
        <w:rPr>
          <w:rFonts w:ascii="Times New Roman" w:eastAsia="Times New Roman" w:hAnsi="Times New Roman" w:cs="Times New Roman"/>
          <w:szCs w:val="24"/>
        </w:rPr>
        <w:t>escription, Metadata harvesting, Digital Preservation, Provenance, Finding aids, Digital Collections</w:t>
      </w:r>
    </w:p>
    <w:p w14:paraId="77B75C76" w14:textId="77777777" w:rsidR="00737090" w:rsidRDefault="00737090" w:rsidP="00EE3849">
      <w:pPr>
        <w:pStyle w:val="NoSpacing"/>
      </w:pPr>
    </w:p>
    <w:p w14:paraId="10EE4CFE" w14:textId="64E9C855" w:rsidR="007F421D" w:rsidRDefault="00E117EB" w:rsidP="00EE3849">
      <w:pPr>
        <w:pStyle w:val="NoSpacing"/>
      </w:pPr>
      <w:r>
        <w:t>**************************</w:t>
      </w:r>
    </w:p>
    <w:sectPr w:rsidR="007F42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EDA02" w14:textId="77777777" w:rsidR="00B71405" w:rsidRDefault="00B71405" w:rsidP="00260B4A">
      <w:r>
        <w:separator/>
      </w:r>
    </w:p>
  </w:endnote>
  <w:endnote w:type="continuationSeparator" w:id="0">
    <w:p w14:paraId="261CF010" w14:textId="77777777" w:rsidR="00B71405" w:rsidRDefault="00B71405" w:rsidP="0026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49DE5" w14:textId="77777777" w:rsidR="00B71405" w:rsidRDefault="00B71405" w:rsidP="00260B4A">
      <w:r>
        <w:separator/>
      </w:r>
    </w:p>
  </w:footnote>
  <w:footnote w:type="continuationSeparator" w:id="0">
    <w:p w14:paraId="2BB3AD8D" w14:textId="77777777" w:rsidR="00B71405" w:rsidRDefault="00B71405" w:rsidP="0026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D1B"/>
    <w:rsid w:val="000344B5"/>
    <w:rsid w:val="000437C1"/>
    <w:rsid w:val="001771F8"/>
    <w:rsid w:val="00260B4A"/>
    <w:rsid w:val="00267DCE"/>
    <w:rsid w:val="003C33FA"/>
    <w:rsid w:val="00651676"/>
    <w:rsid w:val="00680EDB"/>
    <w:rsid w:val="00737090"/>
    <w:rsid w:val="00751881"/>
    <w:rsid w:val="007F2E92"/>
    <w:rsid w:val="007F421D"/>
    <w:rsid w:val="0092441E"/>
    <w:rsid w:val="00A966F7"/>
    <w:rsid w:val="00AD5C95"/>
    <w:rsid w:val="00B71405"/>
    <w:rsid w:val="00C766FD"/>
    <w:rsid w:val="00E117EB"/>
    <w:rsid w:val="00E707B6"/>
    <w:rsid w:val="00EC1D1B"/>
    <w:rsid w:val="00EC2C51"/>
    <w:rsid w:val="00EE2CDF"/>
    <w:rsid w:val="00EE38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2D6DF"/>
  <w15:chartTrackingRefBased/>
  <w15:docId w15:val="{745E1E4A-C4F4-4189-8E53-D54EB41E8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D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771F8"/>
    <w:rPr>
      <w:color w:val="0563C1"/>
      <w:u w:val="single"/>
    </w:rPr>
  </w:style>
  <w:style w:type="paragraph" w:styleId="NoSpacing">
    <w:name w:val="No Spacing"/>
    <w:uiPriority w:val="1"/>
    <w:qFormat/>
    <w:rsid w:val="001771F8"/>
    <w:pPr>
      <w:spacing w:after="0" w:line="240" w:lineRule="auto"/>
    </w:pPr>
    <w:rPr>
      <w:sz w:val="24"/>
    </w:rPr>
  </w:style>
  <w:style w:type="paragraph" w:styleId="Title">
    <w:name w:val="Title"/>
    <w:basedOn w:val="Normal"/>
    <w:next w:val="Normal"/>
    <w:link w:val="TitleChar"/>
    <w:uiPriority w:val="10"/>
    <w:qFormat/>
    <w:rsid w:val="00E117EB"/>
    <w:pPr>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E117EB"/>
    <w:rPr>
      <w:rFonts w:ascii="Times New Roman" w:eastAsiaTheme="majorEastAsia" w:hAnsi="Times New Roman" w:cstheme="majorBidi"/>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229928">
      <w:bodyDiv w:val="1"/>
      <w:marLeft w:val="0"/>
      <w:marRight w:val="0"/>
      <w:marTop w:val="0"/>
      <w:marBottom w:val="0"/>
      <w:divBdr>
        <w:top w:val="none" w:sz="0" w:space="0" w:color="auto"/>
        <w:left w:val="none" w:sz="0" w:space="0" w:color="auto"/>
        <w:bottom w:val="none" w:sz="0" w:space="0" w:color="auto"/>
        <w:right w:val="none" w:sz="0" w:space="0" w:color="auto"/>
      </w:divBdr>
    </w:div>
    <w:div w:id="785658914">
      <w:bodyDiv w:val="1"/>
      <w:marLeft w:val="0"/>
      <w:marRight w:val="0"/>
      <w:marTop w:val="0"/>
      <w:marBottom w:val="0"/>
      <w:divBdr>
        <w:top w:val="none" w:sz="0" w:space="0" w:color="auto"/>
        <w:left w:val="none" w:sz="0" w:space="0" w:color="auto"/>
        <w:bottom w:val="none" w:sz="0" w:space="0" w:color="auto"/>
        <w:right w:val="none" w:sz="0" w:space="0" w:color="auto"/>
      </w:divBdr>
    </w:div>
    <w:div w:id="846559083">
      <w:bodyDiv w:val="1"/>
      <w:marLeft w:val="0"/>
      <w:marRight w:val="0"/>
      <w:marTop w:val="0"/>
      <w:marBottom w:val="0"/>
      <w:divBdr>
        <w:top w:val="none" w:sz="0" w:space="0" w:color="auto"/>
        <w:left w:val="none" w:sz="0" w:space="0" w:color="auto"/>
        <w:bottom w:val="none" w:sz="0" w:space="0" w:color="auto"/>
        <w:right w:val="none" w:sz="0" w:space="0" w:color="auto"/>
      </w:divBdr>
    </w:div>
    <w:div w:id="1497577734">
      <w:bodyDiv w:val="1"/>
      <w:marLeft w:val="0"/>
      <w:marRight w:val="0"/>
      <w:marTop w:val="0"/>
      <w:marBottom w:val="0"/>
      <w:divBdr>
        <w:top w:val="none" w:sz="0" w:space="0" w:color="auto"/>
        <w:left w:val="none" w:sz="0" w:space="0" w:color="auto"/>
        <w:bottom w:val="none" w:sz="0" w:space="0" w:color="auto"/>
        <w:right w:val="none" w:sz="0" w:space="0" w:color="auto"/>
      </w:divBdr>
    </w:div>
    <w:div w:id="1756439970">
      <w:bodyDiv w:val="1"/>
      <w:marLeft w:val="0"/>
      <w:marRight w:val="0"/>
      <w:marTop w:val="0"/>
      <w:marBottom w:val="0"/>
      <w:divBdr>
        <w:top w:val="none" w:sz="0" w:space="0" w:color="auto"/>
        <w:left w:val="none" w:sz="0" w:space="0" w:color="auto"/>
        <w:bottom w:val="none" w:sz="0" w:space="0" w:color="auto"/>
        <w:right w:val="none" w:sz="0" w:space="0" w:color="auto"/>
      </w:divBdr>
    </w:div>
    <w:div w:id="1899515320">
      <w:bodyDiv w:val="1"/>
      <w:marLeft w:val="0"/>
      <w:marRight w:val="0"/>
      <w:marTop w:val="0"/>
      <w:marBottom w:val="0"/>
      <w:divBdr>
        <w:top w:val="none" w:sz="0" w:space="0" w:color="auto"/>
        <w:left w:val="none" w:sz="0" w:space="0" w:color="auto"/>
        <w:bottom w:val="none" w:sz="0" w:space="0" w:color="auto"/>
        <w:right w:val="none" w:sz="0" w:space="0" w:color="auto"/>
      </w:divBdr>
    </w:div>
    <w:div w:id="1977366402">
      <w:bodyDiv w:val="1"/>
      <w:marLeft w:val="0"/>
      <w:marRight w:val="0"/>
      <w:marTop w:val="0"/>
      <w:marBottom w:val="0"/>
      <w:divBdr>
        <w:top w:val="none" w:sz="0" w:space="0" w:color="auto"/>
        <w:left w:val="none" w:sz="0" w:space="0" w:color="auto"/>
        <w:bottom w:val="none" w:sz="0" w:space="0" w:color="auto"/>
        <w:right w:val="none" w:sz="0" w:space="0" w:color="auto"/>
      </w:divBdr>
    </w:div>
    <w:div w:id="20935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6472</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Amy</dc:creator>
  <cp:keywords/>
  <dc:description/>
  <cp:lastModifiedBy>Teresa Brinati</cp:lastModifiedBy>
  <cp:revision>2</cp:revision>
  <dcterms:created xsi:type="dcterms:W3CDTF">2021-03-16T11:15:00Z</dcterms:created>
  <dcterms:modified xsi:type="dcterms:W3CDTF">2021-03-16T11:15:00Z</dcterms:modified>
</cp:coreProperties>
</file>