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April </w:t>
      </w:r>
      <w:r w:rsidR="007A1D0F">
        <w:rPr>
          <w:rFonts w:ascii="Cambria" w:hAnsi="Cambria"/>
          <w:sz w:val="24"/>
          <w:szCs w:val="24"/>
        </w:rPr>
        <w:t>2</w:t>
      </w:r>
      <w:r w:rsidR="00FB0BC2">
        <w:rPr>
          <w:rFonts w:ascii="Cambria" w:hAnsi="Cambria"/>
          <w:sz w:val="24"/>
          <w:szCs w:val="24"/>
        </w:rPr>
        <w:t>4</w:t>
      </w:r>
      <w:bookmarkStart w:id="0" w:name="_GoBack"/>
      <w:bookmarkEnd w:id="0"/>
      <w:r>
        <w:rPr>
          <w:rFonts w:ascii="Cambria" w:hAnsi="Cambria"/>
          <w:sz w:val="24"/>
          <w:szCs w:val="24"/>
        </w:rPr>
        <w:t>, 2014</w:t>
      </w:r>
    </w:p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Lisa B. Juengling</w:t>
      </w:r>
    </w:p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Archivist</w:t>
      </w:r>
    </w:p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LSU School of Veterinary Medicine</w:t>
      </w:r>
    </w:p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C2498" w:rsidRDefault="00DC2498" w:rsidP="00DC249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B72C2" w:rsidRPr="00406002" w:rsidRDefault="000A2AC8" w:rsidP="00DC249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406002">
        <w:rPr>
          <w:rFonts w:ascii="Cambria" w:hAnsi="Cambria"/>
          <w:b/>
          <w:sz w:val="24"/>
          <w:szCs w:val="24"/>
        </w:rPr>
        <w:t>Jump In, Too/Two</w:t>
      </w:r>
    </w:p>
    <w:p w:rsidR="000A2AC8" w:rsidRDefault="000A2AC8" w:rsidP="000A2A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917A27" w:rsidRDefault="000A2AC8" w:rsidP="000A2AC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LSU School of Veterinary Medicine celebrated its 40 year anniversary i</w:t>
      </w:r>
      <w:r w:rsidR="00D70688">
        <w:rPr>
          <w:rFonts w:ascii="Cambria" w:hAnsi="Cambria"/>
          <w:sz w:val="24"/>
          <w:szCs w:val="24"/>
        </w:rPr>
        <w:t>n 2013, and except for a very brief time, had no archivist on st</w:t>
      </w:r>
      <w:r w:rsidR="00D31773">
        <w:rPr>
          <w:rFonts w:ascii="Cambria" w:hAnsi="Cambria"/>
          <w:sz w:val="24"/>
          <w:szCs w:val="24"/>
        </w:rPr>
        <w:t xml:space="preserve">aff until I began in March of this year. </w:t>
      </w:r>
      <w:r w:rsidR="00FB481B">
        <w:rPr>
          <w:rFonts w:ascii="Cambria" w:hAnsi="Cambria"/>
          <w:sz w:val="24"/>
          <w:szCs w:val="24"/>
        </w:rPr>
        <w:t>Prior to this</w:t>
      </w:r>
      <w:r w:rsidR="0072357C">
        <w:rPr>
          <w:rFonts w:ascii="Cambria" w:hAnsi="Cambria"/>
          <w:sz w:val="24"/>
          <w:szCs w:val="24"/>
        </w:rPr>
        <w:t>,</w:t>
      </w:r>
      <w:r w:rsidR="00FB481B">
        <w:rPr>
          <w:rFonts w:ascii="Cambria" w:hAnsi="Cambria"/>
          <w:sz w:val="24"/>
          <w:szCs w:val="24"/>
        </w:rPr>
        <w:t xml:space="preserve"> m</w:t>
      </w:r>
      <w:r>
        <w:rPr>
          <w:rFonts w:ascii="Cambria" w:hAnsi="Cambria"/>
          <w:sz w:val="24"/>
          <w:szCs w:val="24"/>
        </w:rPr>
        <w:t>aterial deemed to have enduring value was collected and stored in various places</w:t>
      </w:r>
      <w:r w:rsidR="003D61D0">
        <w:rPr>
          <w:rFonts w:ascii="Cambria" w:hAnsi="Cambria"/>
          <w:sz w:val="24"/>
          <w:szCs w:val="24"/>
        </w:rPr>
        <w:t xml:space="preserve"> in the library. There i</w:t>
      </w:r>
      <w:r w:rsidR="00406002">
        <w:rPr>
          <w:rFonts w:ascii="Cambria" w:hAnsi="Cambria"/>
          <w:sz w:val="24"/>
          <w:szCs w:val="24"/>
        </w:rPr>
        <w:t xml:space="preserve">s no apparent original order to </w:t>
      </w:r>
      <w:r w:rsidR="003D61D0">
        <w:rPr>
          <w:rFonts w:ascii="Cambria" w:hAnsi="Cambria"/>
          <w:sz w:val="24"/>
          <w:szCs w:val="24"/>
        </w:rPr>
        <w:t>any of the material except for the first dean’s and some faculty papers</w:t>
      </w:r>
      <w:r w:rsidR="00D97886">
        <w:rPr>
          <w:rFonts w:ascii="Cambria" w:hAnsi="Cambria"/>
          <w:sz w:val="24"/>
          <w:szCs w:val="24"/>
        </w:rPr>
        <w:t xml:space="preserve">, which are stored separately. </w:t>
      </w:r>
      <w:r w:rsidR="003D61D0">
        <w:rPr>
          <w:rFonts w:ascii="Cambria" w:hAnsi="Cambria"/>
          <w:sz w:val="24"/>
          <w:szCs w:val="24"/>
        </w:rPr>
        <w:t xml:space="preserve"> </w:t>
      </w:r>
      <w:r w:rsidR="00406002">
        <w:rPr>
          <w:rFonts w:ascii="Cambria" w:hAnsi="Cambria"/>
          <w:sz w:val="24"/>
          <w:szCs w:val="24"/>
        </w:rPr>
        <w:t>Nor, is there any other evidence of intellectual control, such as accession numbers, etc.</w:t>
      </w:r>
    </w:p>
    <w:p w:rsidR="00406002" w:rsidRDefault="00406002" w:rsidP="000A2A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2357C" w:rsidRDefault="00D97886" w:rsidP="000A2AC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Fortunately, I volunteered at the library prior to my hiring and conducted a preliminary </w:t>
      </w:r>
      <w:r w:rsidR="0072357C">
        <w:rPr>
          <w:rFonts w:ascii="Cambria" w:hAnsi="Cambria"/>
          <w:sz w:val="24"/>
          <w:szCs w:val="24"/>
        </w:rPr>
        <w:t>survey of</w:t>
      </w:r>
      <w:r>
        <w:rPr>
          <w:rFonts w:ascii="Cambria" w:hAnsi="Cambria"/>
          <w:sz w:val="24"/>
          <w:szCs w:val="24"/>
        </w:rPr>
        <w:t xml:space="preserve"> the holdings at that time</w:t>
      </w:r>
      <w:r w:rsidR="003725AA">
        <w:rPr>
          <w:rFonts w:ascii="Cambria" w:hAnsi="Cambria"/>
          <w:sz w:val="24"/>
          <w:szCs w:val="24"/>
        </w:rPr>
        <w:t xml:space="preserve">. I had, therefore, a general idea of where the digital media were and approximately how much material we had. Also, I had previously purchased appropriate storage for the large amount of </w:t>
      </w:r>
      <w:r w:rsidR="00FB5E74">
        <w:rPr>
          <w:rFonts w:ascii="Cambria" w:hAnsi="Cambria"/>
          <w:sz w:val="24"/>
          <w:szCs w:val="24"/>
        </w:rPr>
        <w:t>m</w:t>
      </w:r>
      <w:r w:rsidR="003725AA">
        <w:rPr>
          <w:rFonts w:ascii="Cambria" w:hAnsi="Cambria"/>
          <w:sz w:val="24"/>
          <w:szCs w:val="24"/>
        </w:rPr>
        <w:t>ini</w:t>
      </w:r>
      <w:r w:rsidR="00FB5E74">
        <w:rPr>
          <w:rFonts w:ascii="Cambria" w:hAnsi="Cambria"/>
          <w:sz w:val="24"/>
          <w:szCs w:val="24"/>
        </w:rPr>
        <w:t xml:space="preserve"> digital videocassettes in the collection, due to the fact that they had been</w:t>
      </w:r>
      <w:r w:rsidR="003725AA">
        <w:rPr>
          <w:rFonts w:ascii="Cambria" w:hAnsi="Cambria"/>
          <w:sz w:val="24"/>
          <w:szCs w:val="24"/>
        </w:rPr>
        <w:t xml:space="preserve"> </w:t>
      </w:r>
      <w:r w:rsidR="00FB5E74">
        <w:rPr>
          <w:rFonts w:ascii="Cambria" w:hAnsi="Cambria"/>
          <w:sz w:val="24"/>
          <w:szCs w:val="24"/>
        </w:rPr>
        <w:t xml:space="preserve">loosely and </w:t>
      </w:r>
      <w:r w:rsidR="003725AA">
        <w:rPr>
          <w:rFonts w:ascii="Cambria" w:hAnsi="Cambria"/>
          <w:sz w:val="24"/>
          <w:szCs w:val="24"/>
        </w:rPr>
        <w:t>carelessly placed in large manila envelopes</w:t>
      </w:r>
      <w:r w:rsidR="00FB5E74">
        <w:rPr>
          <w:rFonts w:ascii="Cambria" w:hAnsi="Cambria"/>
          <w:sz w:val="24"/>
          <w:szCs w:val="24"/>
        </w:rPr>
        <w:t xml:space="preserve"> and tossed on a shelf. </w:t>
      </w:r>
      <w:r w:rsidR="00067629">
        <w:rPr>
          <w:rFonts w:ascii="Cambria" w:hAnsi="Cambria"/>
          <w:sz w:val="24"/>
          <w:szCs w:val="24"/>
        </w:rPr>
        <w:t xml:space="preserve">Since the </w:t>
      </w:r>
      <w:r w:rsidR="00FB5E74">
        <w:rPr>
          <w:rFonts w:ascii="Cambria" w:hAnsi="Cambria"/>
          <w:sz w:val="24"/>
          <w:szCs w:val="24"/>
        </w:rPr>
        <w:t xml:space="preserve">overall </w:t>
      </w:r>
      <w:r w:rsidR="00067629">
        <w:rPr>
          <w:rFonts w:ascii="Cambria" w:hAnsi="Cambria"/>
          <w:sz w:val="24"/>
          <w:szCs w:val="24"/>
        </w:rPr>
        <w:t>amount of material seemed manageable, I decided to survey everything</w:t>
      </w:r>
      <w:r w:rsidR="009B7886">
        <w:rPr>
          <w:rFonts w:ascii="Cambria" w:hAnsi="Cambria"/>
          <w:sz w:val="24"/>
          <w:szCs w:val="24"/>
        </w:rPr>
        <w:t xml:space="preserve"> we have</w:t>
      </w:r>
      <w:r w:rsidR="0006762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 </w:t>
      </w:r>
    </w:p>
    <w:p w:rsidR="00D97886" w:rsidRDefault="00D97886" w:rsidP="000A2A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0956EA" w:rsidRDefault="0072357C" w:rsidP="000A2AC8">
      <w:pPr>
        <w:spacing w:after="0" w:line="240" w:lineRule="auto"/>
        <w:rPr>
          <w:rFonts w:ascii="Cambria" w:hAnsi="Cambria"/>
          <w:sz w:val="24"/>
          <w:szCs w:val="24"/>
        </w:rPr>
      </w:pPr>
      <w:r w:rsidRPr="00490A0E">
        <w:rPr>
          <w:rFonts w:ascii="Cambria" w:hAnsi="Cambria"/>
          <w:sz w:val="24"/>
          <w:szCs w:val="24"/>
        </w:rPr>
        <w:t>The</w:t>
      </w:r>
      <w:r>
        <w:rPr>
          <w:rFonts w:ascii="Cambria" w:hAnsi="Cambria"/>
          <w:sz w:val="24"/>
          <w:szCs w:val="24"/>
        </w:rPr>
        <w:t xml:space="preserve"> survey proce</w:t>
      </w:r>
      <w:r w:rsidR="00C10C0E">
        <w:rPr>
          <w:rFonts w:ascii="Cambria" w:hAnsi="Cambria"/>
          <w:sz w:val="24"/>
          <w:szCs w:val="24"/>
        </w:rPr>
        <w:t xml:space="preserve">ss took approximately 14 hours. This included time researching miscellaneous things such as how to tell a CD from a DVD when it’s not stated on the label, and way too much time trying to determine whether or not digital videocassettes fit the </w:t>
      </w:r>
      <w:r w:rsidR="00B57A6B">
        <w:rPr>
          <w:rFonts w:ascii="Cambria" w:hAnsi="Cambria"/>
          <w:sz w:val="24"/>
          <w:szCs w:val="24"/>
        </w:rPr>
        <w:t xml:space="preserve">born digital </w:t>
      </w:r>
      <w:r w:rsidR="00C10C0E">
        <w:rPr>
          <w:rFonts w:ascii="Cambria" w:hAnsi="Cambria"/>
          <w:sz w:val="24"/>
          <w:szCs w:val="24"/>
        </w:rPr>
        <w:t xml:space="preserve">criteria set forth in the guidelines. I decided they did. </w:t>
      </w:r>
      <w:r w:rsidR="0022193E">
        <w:rPr>
          <w:rFonts w:ascii="Cambria" w:hAnsi="Cambria"/>
          <w:sz w:val="24"/>
          <w:szCs w:val="24"/>
        </w:rPr>
        <w:t xml:space="preserve">The data was </w:t>
      </w:r>
      <w:r w:rsidR="00CA74EB">
        <w:rPr>
          <w:rFonts w:ascii="Cambria" w:hAnsi="Cambria"/>
          <w:sz w:val="24"/>
          <w:szCs w:val="24"/>
        </w:rPr>
        <w:t>record</w:t>
      </w:r>
      <w:r w:rsidR="0022193E">
        <w:rPr>
          <w:rFonts w:ascii="Cambria" w:hAnsi="Cambria"/>
          <w:sz w:val="24"/>
          <w:szCs w:val="24"/>
        </w:rPr>
        <w:t xml:space="preserve">ed in an Excel spreadsheet </w:t>
      </w:r>
      <w:r w:rsidR="000956EA">
        <w:rPr>
          <w:rFonts w:ascii="Cambria" w:hAnsi="Cambria"/>
          <w:sz w:val="24"/>
          <w:szCs w:val="24"/>
        </w:rPr>
        <w:t xml:space="preserve">and </w:t>
      </w:r>
      <w:r w:rsidR="00CA74EB">
        <w:rPr>
          <w:rFonts w:ascii="Cambria" w:hAnsi="Cambria"/>
          <w:sz w:val="24"/>
          <w:szCs w:val="24"/>
        </w:rPr>
        <w:t>included the suggested categories from the sample inventory template</w:t>
      </w:r>
      <w:r w:rsidR="000956EA">
        <w:rPr>
          <w:rFonts w:ascii="Cambria" w:hAnsi="Cambria"/>
          <w:sz w:val="24"/>
          <w:szCs w:val="24"/>
        </w:rPr>
        <w:t>.</w:t>
      </w:r>
      <w:r w:rsidR="00CA74EB">
        <w:rPr>
          <w:rFonts w:ascii="Cambria" w:hAnsi="Cambria"/>
          <w:sz w:val="24"/>
          <w:szCs w:val="24"/>
        </w:rPr>
        <w:t xml:space="preserve"> </w:t>
      </w:r>
    </w:p>
    <w:p w:rsidR="000956EA" w:rsidRDefault="000956EA" w:rsidP="000A2A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34F67" w:rsidRDefault="0090590E" w:rsidP="000A2AC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summary information is as follows</w:t>
      </w:r>
      <w:r w:rsidR="004F5D6E">
        <w:rPr>
          <w:rFonts w:ascii="Cambria" w:hAnsi="Cambria"/>
          <w:sz w:val="24"/>
          <w:szCs w:val="24"/>
        </w:rPr>
        <w:t xml:space="preserve">: </w:t>
      </w:r>
    </w:p>
    <w:p w:rsidR="00BD6AC8" w:rsidRDefault="00BD6AC8" w:rsidP="000A2AC8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LightList"/>
        <w:tblW w:w="4166" w:type="pct"/>
        <w:tblLook w:val="0420" w:firstRow="1" w:lastRow="0" w:firstColumn="0" w:lastColumn="0" w:noHBand="0" w:noVBand="1"/>
      </w:tblPr>
      <w:tblGrid>
        <w:gridCol w:w="1558"/>
        <w:gridCol w:w="1558"/>
        <w:gridCol w:w="1555"/>
        <w:gridCol w:w="1555"/>
        <w:gridCol w:w="1556"/>
      </w:tblGrid>
      <w:tr w:rsidR="002A1C55" w:rsidTr="007A0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1" w:type="pct"/>
          </w:tcPr>
          <w:p w:rsidR="002A1C55" w:rsidRDefault="002A1C55">
            <w:r>
              <w:t>Container</w:t>
            </w:r>
          </w:p>
        </w:tc>
        <w:tc>
          <w:tcPr>
            <w:tcW w:w="1001" w:type="pct"/>
          </w:tcPr>
          <w:p w:rsidR="002A1C55" w:rsidRDefault="002A1C55">
            <w:r>
              <w:t>Media Type</w:t>
            </w:r>
          </w:p>
        </w:tc>
        <w:tc>
          <w:tcPr>
            <w:tcW w:w="999" w:type="pct"/>
          </w:tcPr>
          <w:p w:rsidR="002A1C55" w:rsidRDefault="002A1C55">
            <w:r>
              <w:t>Quantity</w:t>
            </w:r>
          </w:p>
        </w:tc>
        <w:tc>
          <w:tcPr>
            <w:tcW w:w="999" w:type="pct"/>
          </w:tcPr>
          <w:p w:rsidR="002A1C55" w:rsidRDefault="002A1C55">
            <w:r>
              <w:t>Maximum Capacity in MB</w:t>
            </w:r>
          </w:p>
        </w:tc>
        <w:tc>
          <w:tcPr>
            <w:tcW w:w="1000" w:type="pct"/>
          </w:tcPr>
          <w:p w:rsidR="002A1C55" w:rsidRDefault="009C1F85">
            <w:r>
              <w:t>Es</w:t>
            </w:r>
            <w:r w:rsidR="002A1C55">
              <w:t>t</w:t>
            </w:r>
            <w:r>
              <w:t>.</w:t>
            </w:r>
            <w:r w:rsidR="002A1C55">
              <w:t xml:space="preserve"> Max Storage in MB</w:t>
            </w:r>
          </w:p>
        </w:tc>
      </w:tr>
      <w:tr w:rsidR="002A1C55" w:rsidTr="007A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1" w:type="pct"/>
          </w:tcPr>
          <w:p w:rsidR="002A1C55" w:rsidRDefault="002A1C55"/>
        </w:tc>
        <w:tc>
          <w:tcPr>
            <w:tcW w:w="1001" w:type="pct"/>
          </w:tcPr>
          <w:p w:rsidR="002A1C55" w:rsidRDefault="009072DB" w:rsidP="009072DB">
            <w:r>
              <w:t>CD</w:t>
            </w:r>
          </w:p>
        </w:tc>
        <w:tc>
          <w:tcPr>
            <w:tcW w:w="999" w:type="pct"/>
          </w:tcPr>
          <w:p w:rsidR="002A1C55" w:rsidRDefault="009072DB" w:rsidP="009072DB">
            <w:r>
              <w:t>19</w:t>
            </w:r>
          </w:p>
        </w:tc>
        <w:tc>
          <w:tcPr>
            <w:tcW w:w="999" w:type="pct"/>
          </w:tcPr>
          <w:p w:rsidR="002A1C55" w:rsidRDefault="009072DB">
            <w:r>
              <w:t>700</w:t>
            </w:r>
          </w:p>
        </w:tc>
        <w:tc>
          <w:tcPr>
            <w:tcW w:w="1000" w:type="pct"/>
          </w:tcPr>
          <w:p w:rsidR="002A1C55" w:rsidRDefault="009072DB" w:rsidP="009072DB">
            <w:r>
              <w:t>13,300</w:t>
            </w:r>
          </w:p>
        </w:tc>
      </w:tr>
      <w:tr w:rsidR="002A1C55" w:rsidTr="007A0F7F">
        <w:tc>
          <w:tcPr>
            <w:tcW w:w="1001" w:type="pct"/>
          </w:tcPr>
          <w:p w:rsidR="002A1C55" w:rsidRDefault="002A1C55"/>
        </w:tc>
        <w:tc>
          <w:tcPr>
            <w:tcW w:w="1001" w:type="pct"/>
          </w:tcPr>
          <w:p w:rsidR="002A1C55" w:rsidRDefault="009072DB" w:rsidP="009072DB">
            <w:r>
              <w:t>DVD</w:t>
            </w:r>
          </w:p>
        </w:tc>
        <w:tc>
          <w:tcPr>
            <w:tcW w:w="999" w:type="pct"/>
          </w:tcPr>
          <w:p w:rsidR="002A1C55" w:rsidRPr="009072DB" w:rsidRDefault="009072DB" w:rsidP="009072DB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999" w:type="pct"/>
          </w:tcPr>
          <w:p w:rsidR="002A1C55" w:rsidRDefault="009072DB" w:rsidP="009072DB">
            <w:r>
              <w:t>8.5</w:t>
            </w:r>
          </w:p>
        </w:tc>
        <w:tc>
          <w:tcPr>
            <w:tcW w:w="1000" w:type="pct"/>
          </w:tcPr>
          <w:p w:rsidR="002A1C55" w:rsidRDefault="009072DB">
            <w:r>
              <w:t>130,560</w:t>
            </w:r>
          </w:p>
        </w:tc>
      </w:tr>
      <w:tr w:rsidR="002A1C55" w:rsidTr="007A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1" w:type="pct"/>
          </w:tcPr>
          <w:p w:rsidR="002A1C55" w:rsidRDefault="002A1C55"/>
        </w:tc>
        <w:tc>
          <w:tcPr>
            <w:tcW w:w="1001" w:type="pct"/>
          </w:tcPr>
          <w:p w:rsidR="002A1C55" w:rsidRPr="009072DB" w:rsidRDefault="009072DB" w:rsidP="009072DB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Mini DV</m:t>
                </m:r>
              </m:oMath>
            </m:oMathPara>
          </w:p>
        </w:tc>
        <w:tc>
          <w:tcPr>
            <w:tcW w:w="999" w:type="pct"/>
          </w:tcPr>
          <w:p w:rsidR="002A1C55" w:rsidRPr="009072DB" w:rsidRDefault="009072DB" w:rsidP="009072DB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133</m:t>
                </m:r>
              </m:oMath>
            </m:oMathPara>
          </w:p>
        </w:tc>
        <w:tc>
          <w:tcPr>
            <w:tcW w:w="999" w:type="pct"/>
          </w:tcPr>
          <w:p w:rsidR="002A1C55" w:rsidRDefault="009072DB" w:rsidP="009072DB">
            <w:r>
              <w:t>13,312</w:t>
            </w:r>
          </w:p>
        </w:tc>
        <w:tc>
          <w:tcPr>
            <w:tcW w:w="1000" w:type="pct"/>
          </w:tcPr>
          <w:p w:rsidR="002A1C55" w:rsidRDefault="009072DB">
            <w:r>
              <w:t>1,770,496</w:t>
            </w:r>
          </w:p>
        </w:tc>
      </w:tr>
      <w:tr w:rsidR="002A1C55" w:rsidTr="007A0F7F">
        <w:tc>
          <w:tcPr>
            <w:tcW w:w="1001" w:type="pct"/>
          </w:tcPr>
          <w:p w:rsidR="002A1C55" w:rsidRDefault="002A1C55"/>
        </w:tc>
        <w:tc>
          <w:tcPr>
            <w:tcW w:w="1001" w:type="pct"/>
          </w:tcPr>
          <w:p w:rsidR="002A1C55" w:rsidRPr="009072DB" w:rsidRDefault="009072DB" w:rsidP="009072DB">
            <w:pPr>
              <w:rPr>
                <w:rFonts w:ascii="Cambria" w:hAnsi="Cambr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5.25" Disk</m:t>
                </m:r>
              </m:oMath>
            </m:oMathPara>
          </w:p>
        </w:tc>
        <w:tc>
          <w:tcPr>
            <w:tcW w:w="999" w:type="pct"/>
          </w:tcPr>
          <w:p w:rsidR="002A1C55" w:rsidRPr="009072DB" w:rsidRDefault="009072DB" w:rsidP="009072DB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999" w:type="pct"/>
          </w:tcPr>
          <w:p w:rsidR="002A1C55" w:rsidRDefault="009072DB" w:rsidP="009072DB">
            <w:r>
              <w:t>1.2</w:t>
            </w:r>
          </w:p>
        </w:tc>
        <w:tc>
          <w:tcPr>
            <w:tcW w:w="1000" w:type="pct"/>
          </w:tcPr>
          <w:p w:rsidR="002A1C55" w:rsidRDefault="009072DB" w:rsidP="009072DB">
            <w:r>
              <w:t>54</w:t>
            </w:r>
          </w:p>
        </w:tc>
      </w:tr>
      <w:tr w:rsidR="002A1C55" w:rsidTr="007A0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1" w:type="pct"/>
          </w:tcPr>
          <w:p w:rsidR="002A1C55" w:rsidRDefault="002A1C55"/>
        </w:tc>
        <w:tc>
          <w:tcPr>
            <w:tcW w:w="1001" w:type="pct"/>
          </w:tcPr>
          <w:p w:rsidR="002A1C55" w:rsidRDefault="009072DB" w:rsidP="009072DB">
            <w:r>
              <w:t>3.5”Disk</w:t>
            </w:r>
          </w:p>
        </w:tc>
        <w:tc>
          <w:tcPr>
            <w:tcW w:w="999" w:type="pct"/>
          </w:tcPr>
          <w:p w:rsidR="002A1C55" w:rsidRPr="009072DB" w:rsidRDefault="007A0F7F" w:rsidP="009072DB">
            <w:r>
              <w:t>5</w:t>
            </w:r>
          </w:p>
        </w:tc>
        <w:tc>
          <w:tcPr>
            <w:tcW w:w="999" w:type="pct"/>
          </w:tcPr>
          <w:p w:rsidR="002A1C55" w:rsidRDefault="007A0F7F">
            <w:r>
              <w:t>1.44</w:t>
            </w:r>
          </w:p>
        </w:tc>
        <w:tc>
          <w:tcPr>
            <w:tcW w:w="1000" w:type="pct"/>
          </w:tcPr>
          <w:p w:rsidR="002A1C55" w:rsidRDefault="00114D79">
            <w:r>
              <w:t>7.2</w:t>
            </w:r>
          </w:p>
        </w:tc>
      </w:tr>
    </w:tbl>
    <w:p w:rsidR="004F5D6E" w:rsidRDefault="004F5D6E" w:rsidP="000A2AC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34F67" w:rsidRPr="00BD6AC8" w:rsidRDefault="00234F67" w:rsidP="00BD6AC8">
      <w:pPr>
        <w:spacing w:after="0" w:line="240" w:lineRule="auto"/>
        <w:rPr>
          <w:rFonts w:ascii="Cambria" w:hAnsi="Cambria"/>
          <w:sz w:val="24"/>
          <w:szCs w:val="24"/>
        </w:rPr>
      </w:pPr>
      <w:r>
        <w:t>Date range:  1998</w:t>
      </w:r>
      <w:r w:rsidR="000C5632">
        <w:t xml:space="preserve"> </w:t>
      </w:r>
      <w:r>
        <w:t>- 2009</w:t>
      </w:r>
    </w:p>
    <w:p w:rsidR="002A12D6" w:rsidRDefault="002A12D6" w:rsidP="00E25A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2A12D6" w:rsidRDefault="002A12D6" w:rsidP="00E25A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E8528C" w:rsidRDefault="00E8528C" w:rsidP="00E25A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690FBB" w:rsidRDefault="000956EA" w:rsidP="00E25A8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challenge I encountered involved the sample template. It includes a</w:t>
      </w:r>
      <w:r w:rsidR="00B57A6B">
        <w:rPr>
          <w:rFonts w:ascii="Cambria" w:hAnsi="Cambria"/>
          <w:sz w:val="24"/>
          <w:szCs w:val="24"/>
        </w:rPr>
        <w:t xml:space="preserve"> category for inventory </w:t>
      </w:r>
      <w:r w:rsidR="00CC3A57">
        <w:rPr>
          <w:rFonts w:ascii="Cambria" w:hAnsi="Cambria"/>
          <w:sz w:val="24"/>
          <w:szCs w:val="24"/>
        </w:rPr>
        <w:t xml:space="preserve">and container </w:t>
      </w:r>
      <w:r w:rsidR="00B57A6B">
        <w:rPr>
          <w:rFonts w:ascii="Cambria" w:hAnsi="Cambria"/>
          <w:sz w:val="24"/>
          <w:szCs w:val="24"/>
        </w:rPr>
        <w:t>numbers –</w:t>
      </w:r>
      <w:r>
        <w:rPr>
          <w:rFonts w:ascii="Cambria" w:hAnsi="Cambria"/>
          <w:sz w:val="24"/>
          <w:szCs w:val="24"/>
        </w:rPr>
        <w:t xml:space="preserve"> which makes perfect sense</w:t>
      </w:r>
      <w:r w:rsidR="00B57A6B">
        <w:rPr>
          <w:rFonts w:ascii="Cambria" w:hAnsi="Cambria"/>
          <w:sz w:val="24"/>
          <w:szCs w:val="24"/>
        </w:rPr>
        <w:t xml:space="preserve"> – but, </w:t>
      </w:r>
      <w:r>
        <w:rPr>
          <w:rFonts w:ascii="Cambria" w:hAnsi="Cambria"/>
          <w:sz w:val="24"/>
          <w:szCs w:val="24"/>
        </w:rPr>
        <w:t xml:space="preserve">as </w:t>
      </w:r>
      <w:r w:rsidR="00B57A6B">
        <w:rPr>
          <w:rFonts w:ascii="Cambria" w:hAnsi="Cambria"/>
          <w:sz w:val="24"/>
          <w:szCs w:val="24"/>
        </w:rPr>
        <w:t xml:space="preserve">alluded to </w:t>
      </w:r>
      <w:r>
        <w:rPr>
          <w:rFonts w:ascii="Cambria" w:hAnsi="Cambria"/>
          <w:sz w:val="24"/>
          <w:szCs w:val="24"/>
        </w:rPr>
        <w:t xml:space="preserve">earlier, no such numbers yet exist for us. </w:t>
      </w:r>
      <w:r w:rsidR="00CC3A57">
        <w:rPr>
          <w:rFonts w:ascii="Cambria" w:hAnsi="Cambria"/>
          <w:sz w:val="24"/>
          <w:szCs w:val="24"/>
        </w:rPr>
        <w:t>I decided to include the</w:t>
      </w:r>
      <w:r w:rsidR="00AB51F7">
        <w:rPr>
          <w:rFonts w:ascii="Cambria" w:hAnsi="Cambria"/>
          <w:sz w:val="24"/>
          <w:szCs w:val="24"/>
        </w:rPr>
        <w:t xml:space="preserve"> categor</w:t>
      </w:r>
      <w:r w:rsidR="00CC3A57">
        <w:rPr>
          <w:rFonts w:ascii="Cambria" w:hAnsi="Cambria"/>
          <w:sz w:val="24"/>
          <w:szCs w:val="24"/>
        </w:rPr>
        <w:t>ies, but leave them</w:t>
      </w:r>
      <w:r w:rsidR="00AB51F7">
        <w:rPr>
          <w:rFonts w:ascii="Cambria" w:hAnsi="Cambria"/>
          <w:sz w:val="24"/>
          <w:szCs w:val="24"/>
        </w:rPr>
        <w:t xml:space="preserve"> blank as a </w:t>
      </w:r>
      <w:r w:rsidR="0022193E">
        <w:rPr>
          <w:rFonts w:ascii="Cambria" w:hAnsi="Cambria"/>
          <w:sz w:val="24"/>
          <w:szCs w:val="24"/>
        </w:rPr>
        <w:t xml:space="preserve">stark </w:t>
      </w:r>
      <w:r w:rsidR="00AB51F7">
        <w:rPr>
          <w:rFonts w:ascii="Cambria" w:hAnsi="Cambria"/>
          <w:sz w:val="24"/>
          <w:szCs w:val="24"/>
        </w:rPr>
        <w:t>reminder that thi</w:t>
      </w:r>
      <w:r w:rsidR="00B57A6B">
        <w:rPr>
          <w:rFonts w:ascii="Cambria" w:hAnsi="Cambria"/>
          <w:sz w:val="24"/>
          <w:szCs w:val="24"/>
        </w:rPr>
        <w:t>s information is missing</w:t>
      </w:r>
      <w:r w:rsidR="00AB51F7">
        <w:rPr>
          <w:rFonts w:ascii="Cambria" w:hAnsi="Cambria"/>
          <w:sz w:val="24"/>
          <w:szCs w:val="24"/>
        </w:rPr>
        <w:t xml:space="preserve">. </w:t>
      </w:r>
    </w:p>
    <w:p w:rsidR="00BE0F2C" w:rsidRDefault="00BE0F2C" w:rsidP="00E25A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690FBB" w:rsidRPr="0043630A" w:rsidRDefault="0043630A" w:rsidP="00E25A8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steps for me involve a lot of research and planning. I will use the </w:t>
      </w:r>
      <w:r w:rsidR="009B7886">
        <w:rPr>
          <w:rFonts w:ascii="Cambria" w:hAnsi="Cambria"/>
          <w:sz w:val="24"/>
          <w:szCs w:val="24"/>
        </w:rPr>
        <w:t xml:space="preserve">publication, </w:t>
      </w:r>
      <w:r>
        <w:rPr>
          <w:rFonts w:ascii="Cambria" w:hAnsi="Cambria"/>
          <w:i/>
          <w:sz w:val="24"/>
          <w:szCs w:val="24"/>
        </w:rPr>
        <w:t xml:space="preserve">Walk This Way: Detailed Steps for Transferring Born-Digital Content from Media You Can Read In-house </w:t>
      </w:r>
      <w:r>
        <w:rPr>
          <w:rFonts w:ascii="Cambria" w:hAnsi="Cambria"/>
          <w:sz w:val="24"/>
          <w:szCs w:val="24"/>
        </w:rPr>
        <w:t>as my go-to resource and will consult the additional sources o</w:t>
      </w:r>
      <w:r w:rsidR="007F1A80">
        <w:rPr>
          <w:rFonts w:ascii="Cambria" w:hAnsi="Cambria"/>
          <w:sz w:val="24"/>
          <w:szCs w:val="24"/>
        </w:rPr>
        <w:t xml:space="preserve">f information </w:t>
      </w:r>
      <w:r w:rsidR="009B7886">
        <w:rPr>
          <w:rFonts w:ascii="Cambria" w:hAnsi="Cambria"/>
          <w:sz w:val="24"/>
          <w:szCs w:val="24"/>
        </w:rPr>
        <w:t>it</w:t>
      </w:r>
      <w:r w:rsidR="007F1A80">
        <w:rPr>
          <w:rFonts w:ascii="Cambria" w:hAnsi="Cambria"/>
          <w:sz w:val="24"/>
          <w:szCs w:val="24"/>
        </w:rPr>
        <w:t xml:space="preserve"> suggest</w:t>
      </w:r>
      <w:r w:rsidR="009B7886">
        <w:rPr>
          <w:rFonts w:ascii="Cambria" w:hAnsi="Cambria"/>
          <w:sz w:val="24"/>
          <w:szCs w:val="24"/>
        </w:rPr>
        <w:t>s</w:t>
      </w:r>
      <w:r w:rsidR="007F1A80">
        <w:rPr>
          <w:rFonts w:ascii="Cambria" w:hAnsi="Cambria"/>
          <w:sz w:val="24"/>
          <w:szCs w:val="24"/>
        </w:rPr>
        <w:t xml:space="preserve">. I am especially grateful for the inclusion of the </w:t>
      </w:r>
      <w:r w:rsidR="007F1A80">
        <w:rPr>
          <w:rFonts w:ascii="Cambria" w:hAnsi="Cambria"/>
          <w:i/>
          <w:sz w:val="24"/>
          <w:szCs w:val="24"/>
        </w:rPr>
        <w:t xml:space="preserve">Preserving (Digital) Objects with Restricted Resources (POWRR) </w:t>
      </w:r>
      <w:r w:rsidR="00245A92">
        <w:rPr>
          <w:rFonts w:ascii="Cambria" w:hAnsi="Cambria"/>
          <w:sz w:val="24"/>
          <w:szCs w:val="24"/>
        </w:rPr>
        <w:t>website, as our</w:t>
      </w:r>
      <w:r w:rsidR="007F1A80">
        <w:rPr>
          <w:rFonts w:ascii="Cambria" w:hAnsi="Cambria"/>
          <w:sz w:val="24"/>
          <w:szCs w:val="24"/>
        </w:rPr>
        <w:t xml:space="preserve"> resources (financial and human) are </w:t>
      </w:r>
      <w:r w:rsidR="00245A92">
        <w:rPr>
          <w:rFonts w:ascii="Cambria" w:hAnsi="Cambria"/>
          <w:sz w:val="24"/>
          <w:szCs w:val="24"/>
        </w:rPr>
        <w:t xml:space="preserve">indeed </w:t>
      </w:r>
      <w:r w:rsidR="007F1A80">
        <w:rPr>
          <w:rFonts w:ascii="Cambria" w:hAnsi="Cambria"/>
          <w:sz w:val="24"/>
          <w:szCs w:val="24"/>
        </w:rPr>
        <w:t>limited.</w:t>
      </w:r>
      <w:r>
        <w:rPr>
          <w:rFonts w:ascii="Cambria" w:hAnsi="Cambria"/>
          <w:sz w:val="24"/>
          <w:szCs w:val="24"/>
        </w:rPr>
        <w:t xml:space="preserve"> </w:t>
      </w:r>
    </w:p>
    <w:p w:rsidR="00690FBB" w:rsidRDefault="00690FBB" w:rsidP="00E25A82">
      <w:pPr>
        <w:spacing w:after="0" w:line="240" w:lineRule="auto"/>
        <w:rPr>
          <w:rFonts w:ascii="Cambria" w:hAnsi="Cambria"/>
          <w:sz w:val="24"/>
          <w:szCs w:val="24"/>
        </w:rPr>
      </w:pPr>
    </w:p>
    <w:p w:rsidR="00500FD4" w:rsidRDefault="00500FD4" w:rsidP="00500FD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I’m so glad I par</w:t>
      </w:r>
      <w:r w:rsidR="00ED422E">
        <w:rPr>
          <w:rFonts w:ascii="Cambria" w:hAnsi="Cambria"/>
          <w:sz w:val="24"/>
          <w:szCs w:val="24"/>
        </w:rPr>
        <w:t>ticipated in this initiative. The steps</w:t>
      </w:r>
      <w:r>
        <w:rPr>
          <w:rFonts w:ascii="Cambria" w:hAnsi="Cambria"/>
          <w:sz w:val="24"/>
          <w:szCs w:val="24"/>
        </w:rPr>
        <w:t xml:space="preserve"> w</w:t>
      </w:r>
      <w:r w:rsidR="00ED422E">
        <w:rPr>
          <w:rFonts w:ascii="Cambria" w:hAnsi="Cambria"/>
          <w:sz w:val="24"/>
          <w:szCs w:val="24"/>
        </w:rPr>
        <w:t>ere</w:t>
      </w:r>
      <w:r>
        <w:rPr>
          <w:rFonts w:ascii="Cambria" w:hAnsi="Cambria"/>
          <w:sz w:val="24"/>
          <w:szCs w:val="24"/>
        </w:rPr>
        <w:t xml:space="preserve"> </w:t>
      </w:r>
      <w:r w:rsidR="00ED422E">
        <w:rPr>
          <w:rFonts w:ascii="Cambria" w:hAnsi="Cambria"/>
          <w:sz w:val="24"/>
          <w:szCs w:val="24"/>
        </w:rPr>
        <w:t xml:space="preserve">thoughtfully </w:t>
      </w:r>
      <w:r>
        <w:rPr>
          <w:rFonts w:ascii="Cambria" w:hAnsi="Cambria"/>
          <w:sz w:val="24"/>
          <w:szCs w:val="24"/>
        </w:rPr>
        <w:t>structured in a way that made execu</w:t>
      </w:r>
      <w:r w:rsidR="00ED422E">
        <w:rPr>
          <w:rFonts w:ascii="Cambria" w:hAnsi="Cambria"/>
          <w:sz w:val="24"/>
          <w:szCs w:val="24"/>
        </w:rPr>
        <w:t xml:space="preserve">tion both feasible and logical. It almost guaranteed the </w:t>
      </w:r>
      <w:r w:rsidR="007A1D0F">
        <w:rPr>
          <w:rFonts w:ascii="Cambria" w:hAnsi="Cambria"/>
          <w:sz w:val="24"/>
          <w:szCs w:val="24"/>
        </w:rPr>
        <w:t xml:space="preserve">initial </w:t>
      </w:r>
      <w:r w:rsidR="00ED422E">
        <w:rPr>
          <w:rFonts w:ascii="Cambria" w:hAnsi="Cambria"/>
          <w:sz w:val="24"/>
          <w:szCs w:val="24"/>
        </w:rPr>
        <w:t>success all of us entrusted with digital material so desperately need!</w:t>
      </w:r>
    </w:p>
    <w:p w:rsidR="00500FD4" w:rsidRDefault="00500FD4" w:rsidP="00E25A82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500FD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03" w:rsidRDefault="00CB4E03" w:rsidP="00B91A6A">
      <w:pPr>
        <w:spacing w:after="0" w:line="240" w:lineRule="auto"/>
      </w:pPr>
      <w:r>
        <w:separator/>
      </w:r>
    </w:p>
  </w:endnote>
  <w:endnote w:type="continuationSeparator" w:id="0">
    <w:p w:rsidR="00CB4E03" w:rsidRDefault="00CB4E03" w:rsidP="00B9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935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A6A" w:rsidRDefault="00B91A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B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1A6A" w:rsidRDefault="00B91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03" w:rsidRDefault="00CB4E03" w:rsidP="00B91A6A">
      <w:pPr>
        <w:spacing w:after="0" w:line="240" w:lineRule="auto"/>
      </w:pPr>
      <w:r>
        <w:separator/>
      </w:r>
    </w:p>
  </w:footnote>
  <w:footnote w:type="continuationSeparator" w:id="0">
    <w:p w:rsidR="00CB4E03" w:rsidRDefault="00CB4E03" w:rsidP="00B91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C8"/>
    <w:rsid w:val="00067629"/>
    <w:rsid w:val="000901B7"/>
    <w:rsid w:val="000956EA"/>
    <w:rsid w:val="000A10F9"/>
    <w:rsid w:val="000A2AC8"/>
    <w:rsid w:val="000B72C2"/>
    <w:rsid w:val="000C5632"/>
    <w:rsid w:val="00114D79"/>
    <w:rsid w:val="00132114"/>
    <w:rsid w:val="001D10CB"/>
    <w:rsid w:val="0022193E"/>
    <w:rsid w:val="00230115"/>
    <w:rsid w:val="00234F67"/>
    <w:rsid w:val="00245A92"/>
    <w:rsid w:val="002A12D6"/>
    <w:rsid w:val="002A1C55"/>
    <w:rsid w:val="003725AA"/>
    <w:rsid w:val="00382358"/>
    <w:rsid w:val="003A6D9F"/>
    <w:rsid w:val="003D61D0"/>
    <w:rsid w:val="00406002"/>
    <w:rsid w:val="0043136C"/>
    <w:rsid w:val="0043630A"/>
    <w:rsid w:val="00447891"/>
    <w:rsid w:val="00466B8E"/>
    <w:rsid w:val="00490A0E"/>
    <w:rsid w:val="004F5D6E"/>
    <w:rsid w:val="00500FD4"/>
    <w:rsid w:val="00690FBB"/>
    <w:rsid w:val="0072357C"/>
    <w:rsid w:val="007A0F7F"/>
    <w:rsid w:val="007A1D0F"/>
    <w:rsid w:val="007F1A80"/>
    <w:rsid w:val="007F3C42"/>
    <w:rsid w:val="00811F3D"/>
    <w:rsid w:val="008352C0"/>
    <w:rsid w:val="0090590E"/>
    <w:rsid w:val="009072DB"/>
    <w:rsid w:val="00917A27"/>
    <w:rsid w:val="0097150B"/>
    <w:rsid w:val="009B7886"/>
    <w:rsid w:val="009C1F85"/>
    <w:rsid w:val="00AB51F7"/>
    <w:rsid w:val="00AD74C2"/>
    <w:rsid w:val="00B57A6B"/>
    <w:rsid w:val="00B91A6A"/>
    <w:rsid w:val="00BD2F40"/>
    <w:rsid w:val="00BD6AC8"/>
    <w:rsid w:val="00BE0F2C"/>
    <w:rsid w:val="00C10C0E"/>
    <w:rsid w:val="00CA74EB"/>
    <w:rsid w:val="00CB4E03"/>
    <w:rsid w:val="00CC3A57"/>
    <w:rsid w:val="00CE679B"/>
    <w:rsid w:val="00D31773"/>
    <w:rsid w:val="00D70688"/>
    <w:rsid w:val="00D97886"/>
    <w:rsid w:val="00DC2498"/>
    <w:rsid w:val="00DE753E"/>
    <w:rsid w:val="00E25A82"/>
    <w:rsid w:val="00E27DC2"/>
    <w:rsid w:val="00E8528C"/>
    <w:rsid w:val="00ED422E"/>
    <w:rsid w:val="00EF68A4"/>
    <w:rsid w:val="00F964DB"/>
    <w:rsid w:val="00FB0BC2"/>
    <w:rsid w:val="00FB481B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C1719-B913-4511-9CC3-A9E912C4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6E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BD6A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2A1C5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072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9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6A"/>
  </w:style>
  <w:style w:type="paragraph" w:styleId="Footer">
    <w:name w:val="footer"/>
    <w:basedOn w:val="Normal"/>
    <w:link w:val="FooterChar"/>
    <w:uiPriority w:val="99"/>
    <w:unhideWhenUsed/>
    <w:rsid w:val="00B91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Vet Medicine Library</cp:lastModifiedBy>
  <cp:revision>13</cp:revision>
  <cp:lastPrinted>2014-04-24T18:17:00Z</cp:lastPrinted>
  <dcterms:created xsi:type="dcterms:W3CDTF">2014-04-21T15:57:00Z</dcterms:created>
  <dcterms:modified xsi:type="dcterms:W3CDTF">2014-04-24T18:19:00Z</dcterms:modified>
</cp:coreProperties>
</file>