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2BD" w:rsidRDefault="00F742BD">
      <w:pPr>
        <w:tabs>
          <w:tab w:val="center" w:pos="4680"/>
        </w:tabs>
        <w:rPr>
          <w:b/>
          <w:bCs/>
          <w:lang w:val="en-GB"/>
        </w:rPr>
      </w:pPr>
      <w:r>
        <w:rPr>
          <w:sz w:val="20"/>
          <w:szCs w:val="20"/>
          <w:lang w:val="en-GB"/>
        </w:rPr>
        <w:tab/>
      </w:r>
      <w:r w:rsidR="00970992" w:rsidRPr="00CD129C">
        <w:rPr>
          <w:noProof/>
          <w:sz w:val="20"/>
          <w:szCs w:val="20"/>
        </w:rPr>
        <w:drawing>
          <wp:inline distT="0" distB="0" distL="0" distR="0">
            <wp:extent cx="5810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1104900"/>
                    </a:xfrm>
                    <a:prstGeom prst="rect">
                      <a:avLst/>
                    </a:prstGeom>
                    <a:noFill/>
                    <a:ln>
                      <a:noFill/>
                    </a:ln>
                  </pic:spPr>
                </pic:pic>
              </a:graphicData>
            </a:graphic>
          </wp:inline>
        </w:drawing>
      </w:r>
    </w:p>
    <w:p w:rsidR="00F742BD" w:rsidRDefault="00F742BD">
      <w:pPr>
        <w:tabs>
          <w:tab w:val="center" w:pos="4680"/>
        </w:tabs>
        <w:rPr>
          <w:b/>
          <w:bCs/>
          <w:lang w:val="en-GB"/>
        </w:rPr>
      </w:pPr>
      <w:r>
        <w:rPr>
          <w:b/>
          <w:bCs/>
          <w:lang w:val="en-GB"/>
        </w:rPr>
        <w:tab/>
      </w:r>
    </w:p>
    <w:p w:rsidR="00F742BD" w:rsidRDefault="00EB042D">
      <w:pPr>
        <w:tabs>
          <w:tab w:val="center" w:pos="4680"/>
        </w:tabs>
        <w:jc w:val="center"/>
        <w:rPr>
          <w:lang w:val="en-GB"/>
        </w:rPr>
      </w:pPr>
      <w:r>
        <w:rPr>
          <w:b/>
          <w:bCs/>
          <w:lang w:val="en-GB"/>
        </w:rPr>
        <w:t>Trends in Archives Practice</w:t>
      </w:r>
      <w:r>
        <w:rPr>
          <w:b/>
          <w:bCs/>
          <w:lang w:val="en-GB"/>
        </w:rPr>
        <w:br/>
      </w:r>
      <w:r w:rsidR="009D6E0D">
        <w:rPr>
          <w:b/>
          <w:bCs/>
          <w:lang w:val="en-GB"/>
        </w:rPr>
        <w:t>MODULE</w:t>
      </w:r>
      <w:r w:rsidR="00F742BD">
        <w:rPr>
          <w:b/>
          <w:bCs/>
          <w:lang w:val="en-GB"/>
        </w:rPr>
        <w:t xml:space="preserve"> ASSESSMENT FORM</w:t>
      </w:r>
    </w:p>
    <w:p w:rsidR="00F742BD" w:rsidRDefault="00F742BD">
      <w:pPr>
        <w:rPr>
          <w:smallCaps/>
          <w:sz w:val="20"/>
          <w:szCs w:val="20"/>
          <w:lang w:val="en-GB"/>
        </w:rPr>
      </w:pPr>
    </w:p>
    <w:p w:rsidR="00EB042D" w:rsidRDefault="00EB042D" w:rsidP="005F47EA">
      <w:pPr>
        <w:pStyle w:val="Default"/>
        <w:rPr>
          <w:smallCaps/>
          <w:sz w:val="20"/>
          <w:szCs w:val="20"/>
          <w:lang w:val="en-GB"/>
        </w:rPr>
      </w:pPr>
    </w:p>
    <w:p w:rsidR="00CD129C" w:rsidRPr="00CD129C" w:rsidRDefault="00F742BD" w:rsidP="005F47EA">
      <w:pPr>
        <w:pStyle w:val="Default"/>
        <w:rPr>
          <w:sz w:val="20"/>
          <w:szCs w:val="20"/>
        </w:rPr>
      </w:pPr>
      <w:r>
        <w:rPr>
          <w:smallCaps/>
          <w:sz w:val="20"/>
          <w:szCs w:val="20"/>
          <w:lang w:val="en-GB"/>
        </w:rPr>
        <w:t xml:space="preserve">Title of </w:t>
      </w:r>
      <w:r w:rsidR="009D6E0D">
        <w:rPr>
          <w:smallCaps/>
          <w:sz w:val="20"/>
          <w:szCs w:val="20"/>
          <w:lang w:val="en-GB"/>
        </w:rPr>
        <w:t>Module</w:t>
      </w:r>
      <w:r>
        <w:rPr>
          <w:smallCaps/>
          <w:sz w:val="20"/>
          <w:szCs w:val="20"/>
          <w:lang w:val="en-GB"/>
        </w:rPr>
        <w:t xml:space="preserve">:  </w:t>
      </w:r>
      <w:r w:rsidR="00386A97" w:rsidRPr="00386A97">
        <w:rPr>
          <w:sz w:val="20"/>
          <w:szCs w:val="20"/>
        </w:rPr>
        <w:t xml:space="preserve"> </w:t>
      </w:r>
      <w:bookmarkStart w:id="0" w:name="_GoBack"/>
      <w:bookmarkEnd w:id="0"/>
    </w:p>
    <w:p w:rsidR="00F742BD" w:rsidRDefault="00F742BD">
      <w:pPr>
        <w:rPr>
          <w:smallCaps/>
          <w:sz w:val="20"/>
          <w:szCs w:val="20"/>
          <w:lang w:val="en-GB"/>
        </w:rPr>
      </w:pPr>
    </w:p>
    <w:p w:rsidR="00F742BD" w:rsidRDefault="00F742BD" w:rsidP="00145EFB">
      <w:pPr>
        <w:tabs>
          <w:tab w:val="left" w:pos="2880"/>
        </w:tabs>
        <w:rPr>
          <w:sz w:val="20"/>
          <w:szCs w:val="20"/>
          <w:lang w:val="en-GB"/>
        </w:rPr>
      </w:pPr>
      <w:r>
        <w:rPr>
          <w:smallCaps/>
          <w:sz w:val="20"/>
          <w:szCs w:val="20"/>
          <w:lang w:val="en-GB"/>
        </w:rPr>
        <w:t>Please return assessment to</w:t>
      </w:r>
      <w:r w:rsidR="000A69D5">
        <w:rPr>
          <w:sz w:val="20"/>
          <w:szCs w:val="20"/>
          <w:lang w:val="en-GB"/>
        </w:rPr>
        <w:t>:</w:t>
      </w:r>
      <w:r w:rsidR="000A69D5" w:rsidRPr="000A69D5">
        <w:rPr>
          <w:sz w:val="20"/>
          <w:szCs w:val="20"/>
          <w:lang w:val="en-GB"/>
        </w:rPr>
        <w:t xml:space="preserve"> </w:t>
      </w:r>
      <w:r w:rsidR="00F541B2">
        <w:rPr>
          <w:sz w:val="20"/>
          <w:szCs w:val="20"/>
          <w:lang w:val="en-GB"/>
        </w:rPr>
        <w:tab/>
        <w:t>Chris Prom (</w:t>
      </w:r>
      <w:hyperlink r:id="rId6" w:history="1">
        <w:r w:rsidR="009420F5">
          <w:rPr>
            <w:rStyle w:val="Hyperlink"/>
            <w:sz w:val="20"/>
            <w:szCs w:val="20"/>
            <w:lang w:val="en-GB"/>
          </w:rPr>
          <w:t>PublicationsEditor@archivists.org</w:t>
        </w:r>
      </w:hyperlink>
      <w:r w:rsidR="00F541B2">
        <w:rPr>
          <w:sz w:val="20"/>
          <w:szCs w:val="20"/>
          <w:lang w:val="en-GB"/>
        </w:rPr>
        <w:t xml:space="preserve">) </w:t>
      </w:r>
    </w:p>
    <w:p w:rsidR="00145EFB" w:rsidRDefault="00145EFB" w:rsidP="00145EFB">
      <w:pPr>
        <w:tabs>
          <w:tab w:val="left" w:pos="2880"/>
        </w:tabs>
        <w:rPr>
          <w:sz w:val="20"/>
          <w:szCs w:val="20"/>
          <w:lang w:val="en-GB"/>
        </w:rPr>
      </w:pPr>
    </w:p>
    <w:p w:rsidR="00F742BD" w:rsidRDefault="00F742BD">
      <w:pPr>
        <w:rPr>
          <w:sz w:val="20"/>
          <w:szCs w:val="20"/>
          <w:lang w:val="en-GB"/>
        </w:rPr>
      </w:pPr>
      <w:r>
        <w:rPr>
          <w:smallCaps/>
          <w:sz w:val="20"/>
          <w:szCs w:val="20"/>
          <w:lang w:val="en-GB"/>
        </w:rPr>
        <w:t>We would appreciate receiving report by:</w:t>
      </w:r>
      <w:r w:rsidR="000A69D5">
        <w:rPr>
          <w:smallCaps/>
          <w:sz w:val="20"/>
          <w:szCs w:val="20"/>
          <w:lang w:val="en-GB"/>
        </w:rPr>
        <w:t xml:space="preserve">  </w:t>
      </w:r>
      <w:r>
        <w:rPr>
          <w:sz w:val="20"/>
          <w:szCs w:val="20"/>
          <w:lang w:val="en-GB"/>
        </w:rPr>
        <w:tab/>
      </w:r>
      <w:r>
        <w:rPr>
          <w:sz w:val="20"/>
          <w:szCs w:val="20"/>
          <w:lang w:val="en-GB"/>
        </w:rPr>
        <w:tab/>
      </w:r>
      <w:r>
        <w:rPr>
          <w:sz w:val="20"/>
          <w:szCs w:val="20"/>
          <w:lang w:val="en-GB"/>
        </w:rPr>
        <w:tab/>
      </w:r>
    </w:p>
    <w:p w:rsidR="00F742BD" w:rsidRDefault="00F742BD">
      <w:pPr>
        <w:rPr>
          <w:sz w:val="20"/>
          <w:szCs w:val="20"/>
          <w:lang w:val="en-GB"/>
        </w:rPr>
      </w:pPr>
    </w:p>
    <w:p w:rsidR="00F742BD" w:rsidRDefault="00F742BD" w:rsidP="00EE7963">
      <w:pPr>
        <w:tabs>
          <w:tab w:val="left" w:pos="90"/>
        </w:tabs>
        <w:rPr>
          <w:sz w:val="20"/>
          <w:szCs w:val="20"/>
        </w:rPr>
      </w:pPr>
      <w:r>
        <w:rPr>
          <w:sz w:val="20"/>
          <w:szCs w:val="20"/>
        </w:rPr>
        <w:t>Please respond to the questions listed below.  Your comments should focus primarily upon concerns regarding content. However, sometimes the line between copyediting and content editing overlaps. Thus, you should call attention to sentences or paragraphs that are unclear or note whether sentence structure, terminology, or grammatical errors detract from the author’s meaning.  These may be issues that a copyeditor unfamiliar with the subject matter likely will not detect.</w:t>
      </w:r>
      <w:r w:rsidR="00496CCC" w:rsidRPr="00496CCC">
        <w:rPr>
          <w:sz w:val="20"/>
          <w:szCs w:val="20"/>
        </w:rPr>
        <w:t xml:space="preserve"> </w:t>
      </w:r>
    </w:p>
    <w:p w:rsidR="00F742BD" w:rsidRDefault="00F742BD">
      <w:pPr>
        <w:rPr>
          <w:sz w:val="20"/>
          <w:szCs w:val="20"/>
          <w:lang w:val="en-GB"/>
        </w:rPr>
      </w:pPr>
    </w:p>
    <w:p w:rsidR="000A69D5" w:rsidRPr="00496CCC" w:rsidRDefault="000A69D5" w:rsidP="000A69D5">
      <w:pPr>
        <w:rPr>
          <w:b/>
          <w:bCs/>
          <w:i/>
          <w:iCs/>
          <w:sz w:val="20"/>
          <w:szCs w:val="20"/>
          <w:lang w:val="en-GB"/>
        </w:rPr>
      </w:pPr>
      <w:r w:rsidRPr="00496CCC">
        <w:rPr>
          <w:b/>
          <w:bCs/>
          <w:i/>
          <w:iCs/>
          <w:sz w:val="20"/>
          <w:szCs w:val="20"/>
        </w:rPr>
        <w:t>Your comments are cri</w:t>
      </w:r>
      <w:r w:rsidR="005F47EA">
        <w:rPr>
          <w:b/>
          <w:bCs/>
          <w:i/>
          <w:iCs/>
          <w:sz w:val="20"/>
          <w:szCs w:val="20"/>
        </w:rPr>
        <w:t xml:space="preserve">tical to the editorial process </w:t>
      </w:r>
      <w:r w:rsidRPr="00496CCC">
        <w:rPr>
          <w:b/>
          <w:bCs/>
          <w:i/>
          <w:iCs/>
          <w:sz w:val="20"/>
          <w:szCs w:val="20"/>
          <w:lang w:val="en-GB"/>
        </w:rPr>
        <w:t xml:space="preserve">and </w:t>
      </w:r>
      <w:r w:rsidR="005F47EA">
        <w:rPr>
          <w:b/>
          <w:bCs/>
          <w:i/>
          <w:iCs/>
          <w:sz w:val="20"/>
          <w:szCs w:val="20"/>
          <w:lang w:val="en-GB"/>
        </w:rPr>
        <w:t>will be forwarded to the author</w:t>
      </w:r>
      <w:r>
        <w:rPr>
          <w:b/>
          <w:bCs/>
          <w:i/>
          <w:iCs/>
          <w:sz w:val="20"/>
          <w:szCs w:val="20"/>
          <w:lang w:val="en-GB"/>
        </w:rPr>
        <w:t xml:space="preserve">. </w:t>
      </w:r>
      <w:r w:rsidRPr="00496CCC">
        <w:rPr>
          <w:b/>
          <w:bCs/>
          <w:i/>
          <w:iCs/>
          <w:sz w:val="20"/>
          <w:szCs w:val="20"/>
          <w:lang w:val="en-GB"/>
        </w:rPr>
        <w:t xml:space="preserve">Your identity will </w:t>
      </w:r>
      <w:r w:rsidRPr="000F40F8">
        <w:rPr>
          <w:b/>
          <w:bCs/>
          <w:i/>
          <w:iCs/>
          <w:sz w:val="20"/>
          <w:szCs w:val="20"/>
          <w:u w:val="single"/>
          <w:lang w:val="en-GB"/>
        </w:rPr>
        <w:t>not</w:t>
      </w:r>
      <w:r w:rsidRPr="00496CCC">
        <w:rPr>
          <w:b/>
          <w:bCs/>
          <w:i/>
          <w:iCs/>
          <w:sz w:val="20"/>
          <w:szCs w:val="20"/>
          <w:lang w:val="en-GB"/>
        </w:rPr>
        <w:t xml:space="preserve"> be </w:t>
      </w:r>
      <w:r w:rsidR="005F47EA">
        <w:rPr>
          <w:b/>
          <w:bCs/>
          <w:i/>
          <w:iCs/>
          <w:sz w:val="20"/>
          <w:szCs w:val="20"/>
          <w:lang w:val="en-GB"/>
        </w:rPr>
        <w:t>disclosed to the author</w:t>
      </w:r>
      <w:r>
        <w:rPr>
          <w:b/>
          <w:bCs/>
          <w:i/>
          <w:iCs/>
          <w:sz w:val="20"/>
          <w:szCs w:val="20"/>
          <w:lang w:val="en-GB"/>
        </w:rPr>
        <w:t>.</w:t>
      </w:r>
      <w:r w:rsidR="006472CE">
        <w:rPr>
          <w:b/>
          <w:bCs/>
          <w:i/>
          <w:iCs/>
          <w:sz w:val="20"/>
          <w:szCs w:val="20"/>
          <w:lang w:val="en-GB"/>
        </w:rPr>
        <w:t xml:space="preserve"> </w:t>
      </w:r>
      <w:r w:rsidR="003021C7">
        <w:rPr>
          <w:b/>
          <w:bCs/>
          <w:i/>
          <w:iCs/>
          <w:sz w:val="20"/>
          <w:szCs w:val="20"/>
          <w:lang w:val="en-GB"/>
        </w:rPr>
        <w:t xml:space="preserve">As a token of appreciation, </w:t>
      </w:r>
      <w:r w:rsidR="006472CE">
        <w:rPr>
          <w:b/>
          <w:bCs/>
          <w:i/>
          <w:iCs/>
          <w:sz w:val="20"/>
          <w:szCs w:val="20"/>
          <w:lang w:val="en-GB"/>
        </w:rPr>
        <w:t xml:space="preserve">a complimentary copy of the </w:t>
      </w:r>
      <w:r w:rsidR="00F541B2">
        <w:rPr>
          <w:b/>
          <w:bCs/>
          <w:i/>
          <w:iCs/>
          <w:sz w:val="20"/>
          <w:szCs w:val="20"/>
          <w:lang w:val="en-GB"/>
        </w:rPr>
        <w:t xml:space="preserve">module </w:t>
      </w:r>
      <w:r w:rsidR="006472CE">
        <w:rPr>
          <w:b/>
          <w:bCs/>
          <w:i/>
          <w:iCs/>
          <w:sz w:val="20"/>
          <w:szCs w:val="20"/>
          <w:lang w:val="en-GB"/>
        </w:rPr>
        <w:t>if it is published</w:t>
      </w:r>
      <w:r w:rsidR="00F0624C">
        <w:rPr>
          <w:b/>
          <w:bCs/>
          <w:i/>
          <w:iCs/>
          <w:sz w:val="20"/>
          <w:szCs w:val="20"/>
          <w:lang w:val="en-GB"/>
        </w:rPr>
        <w:t xml:space="preserve"> would be sent to you</w:t>
      </w:r>
      <w:r w:rsidR="006472CE">
        <w:rPr>
          <w:b/>
          <w:bCs/>
          <w:i/>
          <w:iCs/>
          <w:sz w:val="20"/>
          <w:szCs w:val="20"/>
          <w:lang w:val="en-GB"/>
        </w:rPr>
        <w:t>.</w:t>
      </w:r>
    </w:p>
    <w:p w:rsidR="00F742BD" w:rsidRDefault="00F742BD">
      <w:pPr>
        <w:rPr>
          <w:b/>
          <w:bCs/>
          <w:sz w:val="20"/>
          <w:szCs w:val="20"/>
          <w:lang w:val="en-GB"/>
        </w:rPr>
      </w:pPr>
    </w:p>
    <w:p w:rsidR="00F742BD" w:rsidRDefault="00F742BD">
      <w:pPr>
        <w:rPr>
          <w:sz w:val="20"/>
          <w:szCs w:val="20"/>
          <w:lang w:val="en-GB"/>
        </w:rPr>
      </w:pPr>
      <w:r>
        <w:rPr>
          <w:b/>
          <w:bCs/>
          <w:sz w:val="20"/>
          <w:szCs w:val="20"/>
          <w:lang w:val="en-GB"/>
        </w:rPr>
        <w:t>---------------------------------------------------------------------------------------------------------</w:t>
      </w:r>
      <w:r w:rsidR="00F541B2">
        <w:rPr>
          <w:b/>
          <w:bCs/>
          <w:sz w:val="20"/>
          <w:szCs w:val="20"/>
          <w:lang w:val="en-GB"/>
        </w:rPr>
        <w:t>-------------------------------</w:t>
      </w:r>
    </w:p>
    <w:p w:rsidR="00F742BD" w:rsidRDefault="00F742BD">
      <w:pPr>
        <w:rPr>
          <w:b/>
          <w:bCs/>
          <w:sz w:val="20"/>
          <w:szCs w:val="20"/>
          <w:lang w:val="en-GB"/>
        </w:rPr>
      </w:pPr>
    </w:p>
    <w:p w:rsidR="00496CCC" w:rsidRDefault="00496CCC" w:rsidP="00F541B2">
      <w:pPr>
        <w:pStyle w:val="Level1"/>
        <w:numPr>
          <w:ilvl w:val="0"/>
          <w:numId w:val="1"/>
        </w:numPr>
        <w:spacing w:line="249" w:lineRule="auto"/>
        <w:ind w:left="360" w:hanging="270"/>
        <w:jc w:val="left"/>
        <w:rPr>
          <w:sz w:val="20"/>
          <w:szCs w:val="20"/>
        </w:rPr>
      </w:pPr>
      <w:r>
        <w:rPr>
          <w:sz w:val="20"/>
          <w:szCs w:val="20"/>
        </w:rPr>
        <w:t xml:space="preserve">The original proposal has been provided along with the </w:t>
      </w:r>
      <w:r w:rsidR="00EB042D">
        <w:rPr>
          <w:sz w:val="20"/>
          <w:szCs w:val="20"/>
        </w:rPr>
        <w:t>module content</w:t>
      </w:r>
      <w:r>
        <w:rPr>
          <w:sz w:val="20"/>
          <w:szCs w:val="20"/>
        </w:rPr>
        <w:t xml:space="preserve">. </w:t>
      </w:r>
      <w:r w:rsidR="00AB3DD1">
        <w:rPr>
          <w:sz w:val="20"/>
          <w:szCs w:val="20"/>
        </w:rPr>
        <w:t xml:space="preserve">Does </w:t>
      </w:r>
      <w:r>
        <w:rPr>
          <w:sz w:val="20"/>
          <w:szCs w:val="20"/>
        </w:rPr>
        <w:t xml:space="preserve">the </w:t>
      </w:r>
      <w:r w:rsidR="00EB042D">
        <w:rPr>
          <w:sz w:val="20"/>
          <w:szCs w:val="20"/>
        </w:rPr>
        <w:t>content</w:t>
      </w:r>
      <w:r w:rsidR="00AB3DD1">
        <w:rPr>
          <w:sz w:val="20"/>
          <w:szCs w:val="20"/>
        </w:rPr>
        <w:t xml:space="preserve"> meet the criteria </w:t>
      </w:r>
      <w:r>
        <w:rPr>
          <w:sz w:val="20"/>
          <w:szCs w:val="20"/>
        </w:rPr>
        <w:t xml:space="preserve">set forth </w:t>
      </w:r>
      <w:r w:rsidR="00AB3DD1">
        <w:rPr>
          <w:sz w:val="20"/>
          <w:szCs w:val="20"/>
        </w:rPr>
        <w:t xml:space="preserve">in the approved proposal? </w:t>
      </w:r>
      <w:r w:rsidR="00CD129C">
        <w:rPr>
          <w:sz w:val="20"/>
          <w:szCs w:val="20"/>
        </w:rPr>
        <w:t xml:space="preserve"> </w:t>
      </w:r>
    </w:p>
    <w:p w:rsidR="00CD129C" w:rsidRPr="00F541B2" w:rsidRDefault="00CD129C" w:rsidP="00F541B2">
      <w:pPr>
        <w:pStyle w:val="Level1"/>
        <w:spacing w:line="249" w:lineRule="auto"/>
        <w:ind w:left="360"/>
        <w:jc w:val="left"/>
        <w:rPr>
          <w:sz w:val="20"/>
          <w:szCs w:val="20"/>
        </w:rPr>
      </w:pPr>
    </w:p>
    <w:p w:rsidR="00F541B2" w:rsidRPr="00F541B2" w:rsidRDefault="00F742BD" w:rsidP="00F541B2">
      <w:pPr>
        <w:pStyle w:val="Level1"/>
        <w:numPr>
          <w:ilvl w:val="0"/>
          <w:numId w:val="1"/>
        </w:numPr>
        <w:spacing w:line="249" w:lineRule="auto"/>
        <w:ind w:left="360" w:hanging="270"/>
        <w:jc w:val="left"/>
        <w:rPr>
          <w:sz w:val="20"/>
          <w:szCs w:val="20"/>
        </w:rPr>
      </w:pPr>
      <w:r w:rsidRPr="00F541B2">
        <w:rPr>
          <w:sz w:val="20"/>
          <w:szCs w:val="20"/>
        </w:rPr>
        <w:t xml:space="preserve">Examine the interpretation of the author.  </w:t>
      </w:r>
      <w:r w:rsidR="00F541B2" w:rsidRPr="00F541B2">
        <w:rPr>
          <w:sz w:val="20"/>
          <w:szCs w:val="20"/>
        </w:rPr>
        <w:t xml:space="preserve">Does the </w:t>
      </w:r>
      <w:r w:rsidR="00EB042D">
        <w:rPr>
          <w:sz w:val="20"/>
          <w:szCs w:val="20"/>
        </w:rPr>
        <w:t>content</w:t>
      </w:r>
      <w:r w:rsidR="00F541B2" w:rsidRPr="00F541B2">
        <w:rPr>
          <w:sz w:val="20"/>
          <w:szCs w:val="20"/>
        </w:rPr>
        <w:t xml:space="preserve"> reflect </w:t>
      </w:r>
      <w:r w:rsidR="00EB042D">
        <w:rPr>
          <w:sz w:val="20"/>
          <w:szCs w:val="20"/>
        </w:rPr>
        <w:t>the guiding principles of the Trends in Archives Practice series</w:t>
      </w:r>
      <w:r w:rsidR="00F541B2" w:rsidRPr="00F541B2">
        <w:rPr>
          <w:sz w:val="20"/>
          <w:szCs w:val="20"/>
        </w:rPr>
        <w:t>:</w:t>
      </w:r>
    </w:p>
    <w:p w:rsidR="00F541B2" w:rsidRPr="00F541B2" w:rsidRDefault="00F541B2" w:rsidP="00F541B2">
      <w:pPr>
        <w:pStyle w:val="ColorfulList-Accent11"/>
        <w:numPr>
          <w:ilvl w:val="0"/>
          <w:numId w:val="2"/>
        </w:numPr>
        <w:rPr>
          <w:rFonts w:ascii="Times New Roman" w:hAnsi="Times New Roman"/>
          <w:color w:val="000000"/>
          <w:sz w:val="20"/>
          <w:szCs w:val="20"/>
        </w:rPr>
      </w:pPr>
      <w:r w:rsidRPr="00F541B2">
        <w:rPr>
          <w:rFonts w:ascii="Times New Roman" w:hAnsi="Times New Roman"/>
          <w:color w:val="000000"/>
          <w:sz w:val="20"/>
          <w:szCs w:val="20"/>
        </w:rPr>
        <w:t>A target audience of individuals with limited or no practical experience in the area treated in the module, and limited or some familiarity with general archival literature.</w:t>
      </w:r>
    </w:p>
    <w:p w:rsidR="00F541B2" w:rsidRPr="00F541B2" w:rsidRDefault="00F541B2" w:rsidP="00F541B2">
      <w:pPr>
        <w:pStyle w:val="ColorfulList-Accent11"/>
        <w:numPr>
          <w:ilvl w:val="0"/>
          <w:numId w:val="2"/>
        </w:numPr>
        <w:rPr>
          <w:rFonts w:ascii="Times New Roman" w:hAnsi="Times New Roman"/>
          <w:color w:val="000000"/>
          <w:sz w:val="20"/>
          <w:szCs w:val="20"/>
        </w:rPr>
      </w:pPr>
      <w:r w:rsidRPr="00F541B2">
        <w:rPr>
          <w:rFonts w:ascii="Times New Roman" w:hAnsi="Times New Roman"/>
          <w:color w:val="000000"/>
          <w:sz w:val="20"/>
          <w:szCs w:val="20"/>
        </w:rPr>
        <w:t>Approximately 10,000 to 20,000 words in length.</w:t>
      </w:r>
    </w:p>
    <w:p w:rsidR="00F541B2" w:rsidRPr="00F541B2" w:rsidRDefault="00F541B2" w:rsidP="00F541B2">
      <w:pPr>
        <w:pStyle w:val="ColorfulList-Accent11"/>
        <w:numPr>
          <w:ilvl w:val="0"/>
          <w:numId w:val="2"/>
        </w:numPr>
        <w:rPr>
          <w:rFonts w:ascii="Times New Roman" w:hAnsi="Times New Roman"/>
          <w:color w:val="000000"/>
          <w:sz w:val="20"/>
          <w:szCs w:val="20"/>
        </w:rPr>
      </w:pPr>
      <w:r w:rsidRPr="00F541B2">
        <w:rPr>
          <w:rFonts w:ascii="Times New Roman" w:hAnsi="Times New Roman"/>
          <w:color w:val="000000"/>
          <w:sz w:val="20"/>
          <w:szCs w:val="20"/>
        </w:rPr>
        <w:t>Represent the best of current practice and make only limited reference to debates about the more theoretical aspects of archival work.</w:t>
      </w:r>
    </w:p>
    <w:p w:rsidR="00F541B2" w:rsidRPr="00F541B2" w:rsidRDefault="00F541B2" w:rsidP="00F541B2">
      <w:pPr>
        <w:pStyle w:val="ColorfulList-Accent11"/>
        <w:numPr>
          <w:ilvl w:val="0"/>
          <w:numId w:val="2"/>
        </w:numPr>
        <w:rPr>
          <w:rFonts w:ascii="Times New Roman" w:hAnsi="Times New Roman"/>
          <w:color w:val="000000"/>
          <w:sz w:val="20"/>
          <w:szCs w:val="20"/>
        </w:rPr>
      </w:pPr>
      <w:r w:rsidRPr="00F541B2">
        <w:rPr>
          <w:rFonts w:ascii="Times New Roman" w:hAnsi="Times New Roman"/>
          <w:color w:val="000000"/>
          <w:sz w:val="20"/>
          <w:szCs w:val="20"/>
        </w:rPr>
        <w:t>Advice provided appropriate for implementation in a wide range of repositories (in terms of size, repository focus, and available resources).</w:t>
      </w:r>
    </w:p>
    <w:p w:rsidR="00F541B2" w:rsidRPr="00F541B2" w:rsidRDefault="00F541B2" w:rsidP="00F541B2">
      <w:pPr>
        <w:pStyle w:val="ColorfulList-Accent11"/>
        <w:numPr>
          <w:ilvl w:val="0"/>
          <w:numId w:val="2"/>
        </w:numPr>
        <w:rPr>
          <w:rFonts w:ascii="Times New Roman" w:hAnsi="Times New Roman"/>
          <w:color w:val="000000"/>
          <w:sz w:val="20"/>
          <w:szCs w:val="20"/>
        </w:rPr>
      </w:pPr>
      <w:r w:rsidRPr="00F541B2">
        <w:rPr>
          <w:rFonts w:ascii="Times New Roman" w:hAnsi="Times New Roman"/>
          <w:color w:val="000000"/>
          <w:sz w:val="20"/>
          <w:szCs w:val="20"/>
        </w:rPr>
        <w:t>The work will point to other resources of value, both within the new series and in the broader literature.</w:t>
      </w:r>
    </w:p>
    <w:p w:rsidR="00F541B2" w:rsidRPr="00F541B2" w:rsidRDefault="00F541B2" w:rsidP="00F541B2">
      <w:pPr>
        <w:pStyle w:val="ColorfulList-Accent11"/>
        <w:numPr>
          <w:ilvl w:val="0"/>
          <w:numId w:val="2"/>
        </w:numPr>
        <w:rPr>
          <w:rFonts w:ascii="Times New Roman" w:hAnsi="Times New Roman"/>
          <w:color w:val="000000"/>
          <w:sz w:val="20"/>
          <w:szCs w:val="20"/>
        </w:rPr>
      </w:pPr>
      <w:r w:rsidRPr="00F541B2">
        <w:rPr>
          <w:rFonts w:ascii="Times New Roman" w:hAnsi="Times New Roman"/>
          <w:color w:val="000000"/>
          <w:sz w:val="20"/>
          <w:szCs w:val="20"/>
        </w:rPr>
        <w:t xml:space="preserve">The module content can stand on its own.  </w:t>
      </w:r>
    </w:p>
    <w:p w:rsidR="00F541B2" w:rsidRPr="00F541B2" w:rsidRDefault="00F541B2" w:rsidP="00F541B2">
      <w:pPr>
        <w:pStyle w:val="ColorfulList-Accent11"/>
        <w:ind w:left="360"/>
        <w:rPr>
          <w:rFonts w:ascii="Times New Roman" w:hAnsi="Times New Roman"/>
          <w:color w:val="000000"/>
          <w:sz w:val="20"/>
          <w:szCs w:val="20"/>
        </w:rPr>
      </w:pPr>
    </w:p>
    <w:p w:rsidR="00F541B2" w:rsidRPr="00F541B2" w:rsidRDefault="00F541B2" w:rsidP="009D6E0D">
      <w:pPr>
        <w:pStyle w:val="ColorfulList-Accent11"/>
        <w:numPr>
          <w:ilvl w:val="0"/>
          <w:numId w:val="1"/>
        </w:numPr>
        <w:ind w:left="360" w:hanging="360"/>
        <w:rPr>
          <w:rFonts w:ascii="Times New Roman" w:hAnsi="Times New Roman"/>
          <w:color w:val="000000"/>
          <w:sz w:val="20"/>
          <w:szCs w:val="20"/>
        </w:rPr>
      </w:pPr>
      <w:r>
        <w:rPr>
          <w:rFonts w:ascii="Times New Roman" w:hAnsi="Times New Roman"/>
          <w:color w:val="000000"/>
          <w:sz w:val="20"/>
          <w:szCs w:val="20"/>
        </w:rPr>
        <w:t>Does the module</w:t>
      </w:r>
      <w:r w:rsidRPr="00F541B2">
        <w:rPr>
          <w:rFonts w:ascii="Times New Roman" w:hAnsi="Times New Roman"/>
          <w:color w:val="000000"/>
          <w:sz w:val="20"/>
          <w:szCs w:val="20"/>
        </w:rPr>
        <w:t xml:space="preserve"> </w:t>
      </w:r>
      <w:r w:rsidR="002212EF">
        <w:rPr>
          <w:rFonts w:ascii="Times New Roman" w:hAnsi="Times New Roman"/>
          <w:color w:val="000000"/>
          <w:sz w:val="20"/>
          <w:szCs w:val="20"/>
        </w:rPr>
        <w:t>include th</w:t>
      </w:r>
      <w:r w:rsidR="009D6E0D">
        <w:rPr>
          <w:rFonts w:ascii="Times New Roman" w:hAnsi="Times New Roman"/>
          <w:color w:val="000000"/>
          <w:sz w:val="20"/>
          <w:szCs w:val="20"/>
        </w:rPr>
        <w:t>e</w:t>
      </w:r>
      <w:r w:rsidR="002212EF">
        <w:rPr>
          <w:rFonts w:ascii="Times New Roman" w:hAnsi="Times New Roman"/>
          <w:color w:val="000000"/>
          <w:sz w:val="20"/>
          <w:szCs w:val="20"/>
        </w:rPr>
        <w:t xml:space="preserve"> following </w:t>
      </w:r>
      <w:r w:rsidR="003D0A1D">
        <w:rPr>
          <w:rFonts w:ascii="Times New Roman" w:hAnsi="Times New Roman"/>
          <w:color w:val="000000"/>
          <w:sz w:val="20"/>
          <w:szCs w:val="20"/>
        </w:rPr>
        <w:t>elements</w:t>
      </w:r>
      <w:r w:rsidR="002212EF">
        <w:rPr>
          <w:rFonts w:ascii="Times New Roman" w:hAnsi="Times New Roman"/>
          <w:color w:val="000000"/>
          <w:sz w:val="20"/>
          <w:szCs w:val="20"/>
        </w:rPr>
        <w:t>? I</w:t>
      </w:r>
      <w:r w:rsidR="003D0A1D">
        <w:rPr>
          <w:rFonts w:ascii="Times New Roman" w:hAnsi="Times New Roman"/>
          <w:color w:val="000000"/>
          <w:sz w:val="20"/>
          <w:szCs w:val="20"/>
        </w:rPr>
        <w:t xml:space="preserve">s the content in each area current, relevant and complete given </w:t>
      </w:r>
      <w:r w:rsidR="009D6E0D">
        <w:rPr>
          <w:rFonts w:ascii="Times New Roman" w:hAnsi="Times New Roman"/>
          <w:color w:val="000000"/>
          <w:sz w:val="20"/>
          <w:szCs w:val="20"/>
        </w:rPr>
        <w:t xml:space="preserve">the above-listed </w:t>
      </w:r>
      <w:r w:rsidR="003D0A1D">
        <w:rPr>
          <w:rFonts w:ascii="Times New Roman" w:hAnsi="Times New Roman"/>
          <w:color w:val="000000"/>
          <w:sz w:val="20"/>
          <w:szCs w:val="20"/>
        </w:rPr>
        <w:t>guidelines?</w:t>
      </w:r>
    </w:p>
    <w:p w:rsidR="00F541B2" w:rsidRPr="00F541B2" w:rsidRDefault="00F541B2" w:rsidP="00F541B2">
      <w:pPr>
        <w:pStyle w:val="ColorfulList-Accent11"/>
        <w:numPr>
          <w:ilvl w:val="0"/>
          <w:numId w:val="6"/>
        </w:numPr>
        <w:ind w:left="720"/>
        <w:rPr>
          <w:rFonts w:ascii="Times New Roman" w:hAnsi="Times New Roman"/>
          <w:color w:val="000000"/>
          <w:sz w:val="20"/>
          <w:szCs w:val="20"/>
        </w:rPr>
      </w:pPr>
      <w:r w:rsidRPr="00F541B2">
        <w:rPr>
          <w:rFonts w:ascii="Times New Roman" w:hAnsi="Times New Roman"/>
          <w:color w:val="000000"/>
          <w:sz w:val="20"/>
          <w:szCs w:val="20"/>
        </w:rPr>
        <w:t>Introduction;</w:t>
      </w:r>
    </w:p>
    <w:p w:rsidR="00F541B2" w:rsidRPr="00F541B2" w:rsidRDefault="00F541B2" w:rsidP="00F541B2">
      <w:pPr>
        <w:pStyle w:val="ColorfulList-Accent11"/>
        <w:numPr>
          <w:ilvl w:val="0"/>
          <w:numId w:val="6"/>
        </w:numPr>
        <w:ind w:left="720"/>
        <w:rPr>
          <w:rFonts w:ascii="Times New Roman" w:hAnsi="Times New Roman"/>
          <w:color w:val="000000"/>
          <w:sz w:val="20"/>
          <w:szCs w:val="20"/>
        </w:rPr>
      </w:pPr>
      <w:r w:rsidRPr="00F541B2">
        <w:rPr>
          <w:rFonts w:ascii="Times New Roman" w:hAnsi="Times New Roman"/>
          <w:color w:val="000000"/>
          <w:sz w:val="20"/>
          <w:szCs w:val="20"/>
        </w:rPr>
        <w:t>Issues/literature review;</w:t>
      </w:r>
    </w:p>
    <w:p w:rsidR="00F541B2" w:rsidRPr="00F541B2" w:rsidRDefault="00F541B2" w:rsidP="00F541B2">
      <w:pPr>
        <w:pStyle w:val="ColorfulList-Accent11"/>
        <w:numPr>
          <w:ilvl w:val="0"/>
          <w:numId w:val="6"/>
        </w:numPr>
        <w:ind w:left="720"/>
        <w:rPr>
          <w:rFonts w:ascii="Times New Roman" w:hAnsi="Times New Roman"/>
          <w:color w:val="000000"/>
          <w:sz w:val="20"/>
          <w:szCs w:val="20"/>
        </w:rPr>
      </w:pPr>
      <w:r w:rsidRPr="00F541B2">
        <w:rPr>
          <w:rFonts w:ascii="Times New Roman" w:hAnsi="Times New Roman"/>
          <w:color w:val="000000"/>
          <w:sz w:val="20"/>
          <w:szCs w:val="20"/>
        </w:rPr>
        <w:t>Discussion of relevant standards, technologies, policies, practices, procedures, tools, and services, as applicable;</w:t>
      </w:r>
    </w:p>
    <w:p w:rsidR="00F541B2" w:rsidRPr="00F541B2" w:rsidRDefault="00F541B2" w:rsidP="00F541B2">
      <w:pPr>
        <w:pStyle w:val="ColorfulList-Accent11"/>
        <w:numPr>
          <w:ilvl w:val="0"/>
          <w:numId w:val="6"/>
        </w:numPr>
        <w:ind w:left="720"/>
        <w:rPr>
          <w:rFonts w:ascii="Times New Roman" w:hAnsi="Times New Roman"/>
          <w:color w:val="000000"/>
          <w:sz w:val="20"/>
          <w:szCs w:val="20"/>
        </w:rPr>
      </w:pPr>
      <w:r w:rsidRPr="00F541B2">
        <w:rPr>
          <w:rFonts w:ascii="Times New Roman" w:hAnsi="Times New Roman"/>
          <w:color w:val="000000"/>
          <w:sz w:val="20"/>
          <w:szCs w:val="20"/>
        </w:rPr>
        <w:t>Description of current activities in the area, including one or more brief case studies;</w:t>
      </w:r>
    </w:p>
    <w:p w:rsidR="00F541B2" w:rsidRPr="00F541B2" w:rsidRDefault="00F541B2" w:rsidP="00F541B2">
      <w:pPr>
        <w:pStyle w:val="ColorfulList-Accent11"/>
        <w:numPr>
          <w:ilvl w:val="0"/>
          <w:numId w:val="6"/>
        </w:numPr>
        <w:ind w:left="720"/>
        <w:rPr>
          <w:rFonts w:ascii="Times New Roman" w:hAnsi="Times New Roman"/>
          <w:color w:val="000000"/>
          <w:sz w:val="20"/>
          <w:szCs w:val="20"/>
        </w:rPr>
      </w:pPr>
      <w:r w:rsidRPr="00F541B2">
        <w:rPr>
          <w:rFonts w:ascii="Times New Roman" w:hAnsi="Times New Roman"/>
          <w:color w:val="000000"/>
          <w:sz w:val="20"/>
          <w:szCs w:val="20"/>
        </w:rPr>
        <w:t>Recommendations; and</w:t>
      </w:r>
    </w:p>
    <w:p w:rsidR="00F541B2" w:rsidRPr="00F541B2" w:rsidRDefault="00F541B2" w:rsidP="00F541B2">
      <w:pPr>
        <w:pStyle w:val="ColorfulList-Accent11"/>
        <w:numPr>
          <w:ilvl w:val="0"/>
          <w:numId w:val="6"/>
        </w:numPr>
        <w:ind w:left="720"/>
        <w:rPr>
          <w:rFonts w:ascii="Times New Roman" w:hAnsi="Times New Roman"/>
          <w:color w:val="000000"/>
          <w:sz w:val="20"/>
          <w:szCs w:val="20"/>
        </w:rPr>
      </w:pPr>
      <w:r w:rsidRPr="00F541B2">
        <w:rPr>
          <w:rFonts w:ascii="Times New Roman" w:hAnsi="Times New Roman"/>
          <w:color w:val="000000"/>
          <w:sz w:val="20"/>
          <w:szCs w:val="20"/>
        </w:rPr>
        <w:t>Further readings.</w:t>
      </w:r>
    </w:p>
    <w:p w:rsidR="00AB3DD1" w:rsidRPr="00F541B2" w:rsidRDefault="00AB3DD1" w:rsidP="00F541B2">
      <w:pPr>
        <w:pStyle w:val="Level1"/>
        <w:spacing w:line="249" w:lineRule="auto"/>
        <w:ind w:left="360"/>
        <w:jc w:val="left"/>
        <w:rPr>
          <w:sz w:val="20"/>
          <w:szCs w:val="20"/>
        </w:rPr>
      </w:pPr>
    </w:p>
    <w:p w:rsidR="00F742BD" w:rsidRPr="00F541B2" w:rsidRDefault="003D0A1D" w:rsidP="00F541B2">
      <w:pPr>
        <w:pStyle w:val="Level1"/>
        <w:numPr>
          <w:ilvl w:val="0"/>
          <w:numId w:val="1"/>
        </w:numPr>
        <w:spacing w:line="249" w:lineRule="auto"/>
        <w:ind w:left="360" w:hanging="270"/>
        <w:jc w:val="left"/>
        <w:rPr>
          <w:sz w:val="20"/>
          <w:szCs w:val="20"/>
        </w:rPr>
      </w:pPr>
      <w:r>
        <w:rPr>
          <w:sz w:val="20"/>
          <w:szCs w:val="20"/>
        </w:rPr>
        <w:lastRenderedPageBreak/>
        <w:t xml:space="preserve"> Please comment on the quality of the content</w:t>
      </w:r>
      <w:r w:rsidR="002212EF">
        <w:rPr>
          <w:sz w:val="20"/>
          <w:szCs w:val="20"/>
        </w:rPr>
        <w:t>/interpretation</w:t>
      </w:r>
      <w:r>
        <w:rPr>
          <w:sz w:val="20"/>
          <w:szCs w:val="20"/>
        </w:rPr>
        <w:t xml:space="preserve">.  </w:t>
      </w:r>
      <w:r w:rsidR="00F742BD" w:rsidRPr="00F541B2">
        <w:rPr>
          <w:sz w:val="20"/>
          <w:szCs w:val="20"/>
        </w:rPr>
        <w:t xml:space="preserve">Are there any technical </w:t>
      </w:r>
      <w:r>
        <w:rPr>
          <w:sz w:val="20"/>
          <w:szCs w:val="20"/>
        </w:rPr>
        <w:t xml:space="preserve">or other </w:t>
      </w:r>
      <w:r w:rsidR="00F742BD" w:rsidRPr="00F541B2">
        <w:rPr>
          <w:sz w:val="20"/>
          <w:szCs w:val="20"/>
        </w:rPr>
        <w:t xml:space="preserve">inaccuracies?  </w:t>
      </w:r>
    </w:p>
    <w:p w:rsidR="00F742BD" w:rsidRPr="00F541B2" w:rsidRDefault="00F742BD" w:rsidP="00F541B2">
      <w:pPr>
        <w:pStyle w:val="Level1"/>
        <w:spacing w:line="249" w:lineRule="auto"/>
        <w:ind w:left="0"/>
        <w:jc w:val="left"/>
        <w:rPr>
          <w:sz w:val="20"/>
          <w:szCs w:val="20"/>
        </w:rPr>
      </w:pPr>
      <w:r w:rsidRPr="00F541B2">
        <w:rPr>
          <w:sz w:val="20"/>
          <w:szCs w:val="20"/>
        </w:rPr>
        <w:br/>
      </w:r>
    </w:p>
    <w:p w:rsidR="00496CCC" w:rsidRPr="00F541B2" w:rsidRDefault="00F742BD" w:rsidP="00F541B2">
      <w:pPr>
        <w:pStyle w:val="Level1"/>
        <w:numPr>
          <w:ilvl w:val="0"/>
          <w:numId w:val="1"/>
        </w:numPr>
        <w:spacing w:line="249" w:lineRule="auto"/>
        <w:ind w:left="360" w:hanging="270"/>
        <w:jc w:val="left"/>
        <w:rPr>
          <w:sz w:val="20"/>
          <w:szCs w:val="20"/>
        </w:rPr>
      </w:pPr>
      <w:r w:rsidRPr="00F541B2">
        <w:rPr>
          <w:sz w:val="20"/>
          <w:szCs w:val="20"/>
        </w:rPr>
        <w:t xml:space="preserve">Spot check footnotes.  Are there any discrepancies?  </w:t>
      </w:r>
    </w:p>
    <w:p w:rsidR="00496CCC" w:rsidRPr="00F541B2" w:rsidRDefault="00496CCC" w:rsidP="00F541B2">
      <w:pPr>
        <w:pStyle w:val="Level1"/>
        <w:spacing w:line="249" w:lineRule="auto"/>
        <w:ind w:left="360"/>
        <w:jc w:val="left"/>
        <w:rPr>
          <w:sz w:val="20"/>
          <w:szCs w:val="20"/>
        </w:rPr>
      </w:pPr>
    </w:p>
    <w:p w:rsidR="00496CCC" w:rsidRPr="00F541B2" w:rsidRDefault="00496CCC" w:rsidP="00F541B2">
      <w:pPr>
        <w:pStyle w:val="Level1"/>
        <w:numPr>
          <w:ilvl w:val="0"/>
          <w:numId w:val="1"/>
        </w:numPr>
        <w:spacing w:line="249" w:lineRule="auto"/>
        <w:ind w:left="360" w:hanging="270"/>
        <w:jc w:val="left"/>
        <w:rPr>
          <w:sz w:val="20"/>
          <w:szCs w:val="20"/>
        </w:rPr>
      </w:pPr>
      <w:r w:rsidRPr="00F541B2">
        <w:rPr>
          <w:sz w:val="20"/>
          <w:szCs w:val="20"/>
        </w:rPr>
        <w:t>What is the quality of the writing? How can it be enhanced?</w:t>
      </w:r>
    </w:p>
    <w:p w:rsidR="00F742BD" w:rsidRPr="00F541B2" w:rsidRDefault="00F742BD" w:rsidP="00F541B2">
      <w:pPr>
        <w:pStyle w:val="Level1"/>
        <w:spacing w:line="249" w:lineRule="auto"/>
        <w:ind w:left="360"/>
        <w:jc w:val="left"/>
        <w:rPr>
          <w:sz w:val="20"/>
          <w:szCs w:val="20"/>
        </w:rPr>
      </w:pPr>
    </w:p>
    <w:p w:rsidR="00F742BD" w:rsidRPr="00F541B2" w:rsidRDefault="00F742BD" w:rsidP="00F541B2">
      <w:pPr>
        <w:pStyle w:val="Level1"/>
        <w:numPr>
          <w:ilvl w:val="0"/>
          <w:numId w:val="1"/>
        </w:numPr>
        <w:spacing w:line="249" w:lineRule="auto"/>
        <w:ind w:left="360" w:right="-720" w:hanging="270"/>
        <w:jc w:val="left"/>
        <w:rPr>
          <w:sz w:val="20"/>
          <w:szCs w:val="20"/>
        </w:rPr>
      </w:pPr>
      <w:r w:rsidRPr="00F541B2">
        <w:rPr>
          <w:sz w:val="20"/>
          <w:szCs w:val="20"/>
        </w:rPr>
        <w:t xml:space="preserve">In my </w:t>
      </w:r>
      <w:r w:rsidR="00125184">
        <w:rPr>
          <w:sz w:val="20"/>
          <w:szCs w:val="20"/>
        </w:rPr>
        <w:t>opinion, the manuscript is:</w:t>
      </w:r>
      <w:r w:rsidR="00125184">
        <w:rPr>
          <w:sz w:val="20"/>
          <w:szCs w:val="20"/>
        </w:rPr>
        <w:br/>
      </w:r>
      <w:r w:rsidR="00125184">
        <w:rPr>
          <w:sz w:val="20"/>
          <w:szCs w:val="20"/>
        </w:rPr>
        <w:br/>
        <w:t xml:space="preserve"> </w:t>
      </w:r>
      <w:r w:rsidRPr="00F541B2">
        <w:rPr>
          <w:sz w:val="20"/>
          <w:szCs w:val="20"/>
        </w:rPr>
        <w:t xml:space="preserve">___ </w:t>
      </w:r>
      <w:r w:rsidR="00496CCC" w:rsidRPr="00F541B2">
        <w:rPr>
          <w:sz w:val="20"/>
          <w:szCs w:val="20"/>
        </w:rPr>
        <w:t xml:space="preserve">Accepted (no </w:t>
      </w:r>
      <w:r w:rsidR="00125184">
        <w:rPr>
          <w:sz w:val="20"/>
          <w:szCs w:val="20"/>
        </w:rPr>
        <w:t xml:space="preserve">substantial </w:t>
      </w:r>
      <w:r w:rsidR="00496CCC" w:rsidRPr="00F541B2">
        <w:rPr>
          <w:sz w:val="20"/>
          <w:szCs w:val="20"/>
        </w:rPr>
        <w:t>revisions needed</w:t>
      </w:r>
      <w:r w:rsidR="005E67EC" w:rsidRPr="00F541B2">
        <w:rPr>
          <w:sz w:val="20"/>
          <w:szCs w:val="20"/>
        </w:rPr>
        <w:t>)</w:t>
      </w:r>
      <w:r w:rsidRPr="00F541B2">
        <w:rPr>
          <w:sz w:val="20"/>
          <w:szCs w:val="20"/>
        </w:rPr>
        <w:t xml:space="preserve">  </w:t>
      </w:r>
      <w:r w:rsidR="00496CCC" w:rsidRPr="00F541B2">
        <w:rPr>
          <w:sz w:val="20"/>
          <w:szCs w:val="20"/>
        </w:rPr>
        <w:t xml:space="preserve">   </w:t>
      </w:r>
      <w:r w:rsidRPr="00F541B2">
        <w:rPr>
          <w:sz w:val="20"/>
          <w:szCs w:val="20"/>
        </w:rPr>
        <w:t xml:space="preserve"> </w:t>
      </w:r>
      <w:r w:rsidR="00AB3DD1" w:rsidRPr="00F541B2">
        <w:rPr>
          <w:sz w:val="20"/>
          <w:szCs w:val="20"/>
        </w:rPr>
        <w:t>___ Publishable with revisions (specify revisions)</w:t>
      </w:r>
      <w:r w:rsidR="00496CCC" w:rsidRPr="00F541B2">
        <w:rPr>
          <w:sz w:val="20"/>
          <w:szCs w:val="20"/>
        </w:rPr>
        <w:t xml:space="preserve">       ___Rejected   </w:t>
      </w:r>
    </w:p>
    <w:p w:rsidR="00F742BD" w:rsidRPr="00F541B2" w:rsidRDefault="00F742BD">
      <w:pPr>
        <w:rPr>
          <w:sz w:val="20"/>
          <w:szCs w:val="20"/>
          <w:lang w:val="en-GB"/>
        </w:rPr>
      </w:pPr>
    </w:p>
    <w:p w:rsidR="00F742BD" w:rsidRPr="00F541B2" w:rsidRDefault="00F742BD">
      <w:pPr>
        <w:rPr>
          <w:sz w:val="20"/>
          <w:szCs w:val="20"/>
          <w:lang w:val="en-GB"/>
        </w:rPr>
      </w:pPr>
    </w:p>
    <w:sectPr w:rsidR="00F742BD" w:rsidRPr="00F541B2" w:rsidSect="00F541B2">
      <w:type w:val="continuous"/>
      <w:pgSz w:w="12240" w:h="15840"/>
      <w:pgMar w:top="810" w:right="1440" w:bottom="1440" w:left="16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F1CCF"/>
    <w:multiLevelType w:val="hybridMultilevel"/>
    <w:tmpl w:val="C3EA9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537377"/>
    <w:multiLevelType w:val="hybridMultilevel"/>
    <w:tmpl w:val="BA76F6FE"/>
    <w:lvl w:ilvl="0" w:tplc="0409000F">
      <w:start w:val="1"/>
      <w:numFmt w:val="decimal"/>
      <w:lvlText w:val="%1."/>
      <w:lvlJc w:val="left"/>
      <w:pPr>
        <w:ind w:left="773" w:hanging="360"/>
      </w:pPr>
      <w:rPr>
        <w:rFonts w:cs="Times New Roman"/>
      </w:rPr>
    </w:lvl>
    <w:lvl w:ilvl="1" w:tplc="04090019">
      <w:start w:val="1"/>
      <w:numFmt w:val="lowerLetter"/>
      <w:lvlText w:val="%2."/>
      <w:lvlJc w:val="left"/>
      <w:pPr>
        <w:ind w:left="1493" w:hanging="360"/>
      </w:pPr>
      <w:rPr>
        <w:rFonts w:cs="Times New Roman"/>
      </w:rPr>
    </w:lvl>
    <w:lvl w:ilvl="2" w:tplc="0409001B">
      <w:start w:val="1"/>
      <w:numFmt w:val="lowerRoman"/>
      <w:lvlText w:val="%3."/>
      <w:lvlJc w:val="right"/>
      <w:pPr>
        <w:ind w:left="2213" w:hanging="180"/>
      </w:pPr>
      <w:rPr>
        <w:rFonts w:cs="Times New Roman"/>
      </w:rPr>
    </w:lvl>
    <w:lvl w:ilvl="3" w:tplc="0409000F">
      <w:start w:val="1"/>
      <w:numFmt w:val="decimal"/>
      <w:lvlText w:val="%4."/>
      <w:lvlJc w:val="left"/>
      <w:pPr>
        <w:ind w:left="2933" w:hanging="360"/>
      </w:pPr>
      <w:rPr>
        <w:rFonts w:cs="Times New Roman"/>
      </w:rPr>
    </w:lvl>
    <w:lvl w:ilvl="4" w:tplc="04090019">
      <w:start w:val="1"/>
      <w:numFmt w:val="lowerLetter"/>
      <w:lvlText w:val="%5."/>
      <w:lvlJc w:val="left"/>
      <w:pPr>
        <w:ind w:left="3653" w:hanging="360"/>
      </w:pPr>
      <w:rPr>
        <w:rFonts w:cs="Times New Roman"/>
      </w:rPr>
    </w:lvl>
    <w:lvl w:ilvl="5" w:tplc="0409001B">
      <w:start w:val="1"/>
      <w:numFmt w:val="lowerRoman"/>
      <w:lvlText w:val="%6."/>
      <w:lvlJc w:val="right"/>
      <w:pPr>
        <w:ind w:left="4373" w:hanging="180"/>
      </w:pPr>
      <w:rPr>
        <w:rFonts w:cs="Times New Roman"/>
      </w:rPr>
    </w:lvl>
    <w:lvl w:ilvl="6" w:tplc="0409000F">
      <w:start w:val="1"/>
      <w:numFmt w:val="decimal"/>
      <w:lvlText w:val="%7."/>
      <w:lvlJc w:val="left"/>
      <w:pPr>
        <w:ind w:left="5093" w:hanging="360"/>
      </w:pPr>
      <w:rPr>
        <w:rFonts w:cs="Times New Roman"/>
      </w:rPr>
    </w:lvl>
    <w:lvl w:ilvl="7" w:tplc="04090019">
      <w:start w:val="1"/>
      <w:numFmt w:val="lowerLetter"/>
      <w:lvlText w:val="%8."/>
      <w:lvlJc w:val="left"/>
      <w:pPr>
        <w:ind w:left="5813" w:hanging="360"/>
      </w:pPr>
      <w:rPr>
        <w:rFonts w:cs="Times New Roman"/>
      </w:rPr>
    </w:lvl>
    <w:lvl w:ilvl="8" w:tplc="0409001B">
      <w:start w:val="1"/>
      <w:numFmt w:val="lowerRoman"/>
      <w:lvlText w:val="%9."/>
      <w:lvlJc w:val="right"/>
      <w:pPr>
        <w:ind w:left="6533" w:hanging="180"/>
      </w:pPr>
      <w:rPr>
        <w:rFonts w:cs="Times New Roman"/>
      </w:rPr>
    </w:lvl>
  </w:abstractNum>
  <w:abstractNum w:abstractNumId="2" w15:restartNumberingAfterBreak="0">
    <w:nsid w:val="47461CA2"/>
    <w:multiLevelType w:val="hybridMultilevel"/>
    <w:tmpl w:val="53381DCA"/>
    <w:lvl w:ilvl="0" w:tplc="04090001">
      <w:start w:val="1"/>
      <w:numFmt w:val="bullet"/>
      <w:lvlText w:val=""/>
      <w:lvlJc w:val="left"/>
      <w:pPr>
        <w:ind w:left="773" w:hanging="360"/>
      </w:pPr>
      <w:rPr>
        <w:rFonts w:ascii="Symbol" w:hAnsi="Symbol" w:hint="default"/>
      </w:rPr>
    </w:lvl>
    <w:lvl w:ilvl="1" w:tplc="04090019">
      <w:start w:val="1"/>
      <w:numFmt w:val="lowerLetter"/>
      <w:lvlText w:val="%2."/>
      <w:lvlJc w:val="left"/>
      <w:pPr>
        <w:ind w:left="1493" w:hanging="360"/>
      </w:pPr>
      <w:rPr>
        <w:rFonts w:cs="Times New Roman"/>
      </w:rPr>
    </w:lvl>
    <w:lvl w:ilvl="2" w:tplc="0409001B">
      <w:start w:val="1"/>
      <w:numFmt w:val="lowerRoman"/>
      <w:lvlText w:val="%3."/>
      <w:lvlJc w:val="right"/>
      <w:pPr>
        <w:ind w:left="2213" w:hanging="180"/>
      </w:pPr>
      <w:rPr>
        <w:rFonts w:cs="Times New Roman"/>
      </w:rPr>
    </w:lvl>
    <w:lvl w:ilvl="3" w:tplc="0409000F">
      <w:start w:val="1"/>
      <w:numFmt w:val="decimal"/>
      <w:lvlText w:val="%4."/>
      <w:lvlJc w:val="left"/>
      <w:pPr>
        <w:ind w:left="2933" w:hanging="360"/>
      </w:pPr>
      <w:rPr>
        <w:rFonts w:cs="Times New Roman"/>
      </w:rPr>
    </w:lvl>
    <w:lvl w:ilvl="4" w:tplc="04090019">
      <w:start w:val="1"/>
      <w:numFmt w:val="lowerLetter"/>
      <w:lvlText w:val="%5."/>
      <w:lvlJc w:val="left"/>
      <w:pPr>
        <w:ind w:left="3653" w:hanging="360"/>
      </w:pPr>
      <w:rPr>
        <w:rFonts w:cs="Times New Roman"/>
      </w:rPr>
    </w:lvl>
    <w:lvl w:ilvl="5" w:tplc="0409001B">
      <w:start w:val="1"/>
      <w:numFmt w:val="lowerRoman"/>
      <w:lvlText w:val="%6."/>
      <w:lvlJc w:val="right"/>
      <w:pPr>
        <w:ind w:left="4373" w:hanging="180"/>
      </w:pPr>
      <w:rPr>
        <w:rFonts w:cs="Times New Roman"/>
      </w:rPr>
    </w:lvl>
    <w:lvl w:ilvl="6" w:tplc="0409000F">
      <w:start w:val="1"/>
      <w:numFmt w:val="decimal"/>
      <w:lvlText w:val="%7."/>
      <w:lvlJc w:val="left"/>
      <w:pPr>
        <w:ind w:left="5093" w:hanging="360"/>
      </w:pPr>
      <w:rPr>
        <w:rFonts w:cs="Times New Roman"/>
      </w:rPr>
    </w:lvl>
    <w:lvl w:ilvl="7" w:tplc="04090019">
      <w:start w:val="1"/>
      <w:numFmt w:val="lowerLetter"/>
      <w:lvlText w:val="%8."/>
      <w:lvlJc w:val="left"/>
      <w:pPr>
        <w:ind w:left="5813" w:hanging="360"/>
      </w:pPr>
      <w:rPr>
        <w:rFonts w:cs="Times New Roman"/>
      </w:rPr>
    </w:lvl>
    <w:lvl w:ilvl="8" w:tplc="0409001B">
      <w:start w:val="1"/>
      <w:numFmt w:val="lowerRoman"/>
      <w:lvlText w:val="%9."/>
      <w:lvlJc w:val="right"/>
      <w:pPr>
        <w:ind w:left="6533" w:hanging="180"/>
      </w:pPr>
      <w:rPr>
        <w:rFonts w:cs="Times New Roman"/>
      </w:rPr>
    </w:lvl>
  </w:abstractNum>
  <w:abstractNum w:abstractNumId="3" w15:restartNumberingAfterBreak="0">
    <w:nsid w:val="666F0129"/>
    <w:multiLevelType w:val="singleLevel"/>
    <w:tmpl w:val="46A0FBF4"/>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3"/>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12"/>
    <w:rsid w:val="00054D71"/>
    <w:rsid w:val="000A69D5"/>
    <w:rsid w:val="000E4272"/>
    <w:rsid w:val="000F40F8"/>
    <w:rsid w:val="00125184"/>
    <w:rsid w:val="00145EFB"/>
    <w:rsid w:val="001757BE"/>
    <w:rsid w:val="002212EF"/>
    <w:rsid w:val="003021C7"/>
    <w:rsid w:val="00386A97"/>
    <w:rsid w:val="003B2B8E"/>
    <w:rsid w:val="003B76EF"/>
    <w:rsid w:val="003D0A1D"/>
    <w:rsid w:val="00496CCC"/>
    <w:rsid w:val="00497DE8"/>
    <w:rsid w:val="004C0A55"/>
    <w:rsid w:val="005D3A13"/>
    <w:rsid w:val="005E67EC"/>
    <w:rsid w:val="005F47EA"/>
    <w:rsid w:val="006472CE"/>
    <w:rsid w:val="00650EB2"/>
    <w:rsid w:val="00683A4F"/>
    <w:rsid w:val="00726EA6"/>
    <w:rsid w:val="00914F12"/>
    <w:rsid w:val="009203D8"/>
    <w:rsid w:val="009420F5"/>
    <w:rsid w:val="00947FAF"/>
    <w:rsid w:val="00970992"/>
    <w:rsid w:val="009A6B18"/>
    <w:rsid w:val="009D6E0D"/>
    <w:rsid w:val="00A31562"/>
    <w:rsid w:val="00AB3DD1"/>
    <w:rsid w:val="00C53FA9"/>
    <w:rsid w:val="00C729BE"/>
    <w:rsid w:val="00CD129C"/>
    <w:rsid w:val="00DA6E5D"/>
    <w:rsid w:val="00E727CF"/>
    <w:rsid w:val="00EB042D"/>
    <w:rsid w:val="00EE7963"/>
    <w:rsid w:val="00EF5611"/>
    <w:rsid w:val="00F0624C"/>
    <w:rsid w:val="00F541B2"/>
    <w:rsid w:val="00F7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C2F4F5-675C-4D48-B102-3D698F85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2">
    <w:name w:val="heading 2"/>
    <w:basedOn w:val="Normal"/>
    <w:next w:val="Normal"/>
    <w:link w:val="Heading2Char"/>
    <w:uiPriority w:val="99"/>
    <w:qFormat/>
    <w:rsid w:val="00947FAF"/>
    <w:pPr>
      <w:keepNext/>
      <w:widowControl/>
      <w:autoSpaceDE/>
      <w:autoSpaceDN/>
      <w:adjustRightInd/>
      <w:spacing w:line="480" w:lineRule="auto"/>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styleId="FootnoteReference">
    <w:name w:val="footnote reference"/>
    <w:basedOn w:val="DefaultParagraphFont"/>
    <w:uiPriority w:val="99"/>
    <w:semiHidden/>
    <w:rPr>
      <w:rFonts w:cs="Times New Roman"/>
    </w:rPr>
  </w:style>
  <w:style w:type="character" w:customStyle="1" w:styleId="Hypertext">
    <w:name w:val="Hypertext"/>
    <w:uiPriority w:val="99"/>
    <w:rPr>
      <w:color w:val="0000FF"/>
      <w:u w:val="single"/>
    </w:rPr>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F742B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ault">
    <w:name w:val="Default"/>
    <w:rsid w:val="00386A97"/>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F541B2"/>
    <w:pPr>
      <w:ind w:left="720"/>
    </w:pPr>
  </w:style>
  <w:style w:type="paragraph" w:customStyle="1" w:styleId="ColorfulList-Accent11">
    <w:name w:val="Colorful List - Accent 11"/>
    <w:basedOn w:val="Normal"/>
    <w:uiPriority w:val="34"/>
    <w:qFormat/>
    <w:rsid w:val="00F541B2"/>
    <w:pPr>
      <w:widowControl/>
      <w:autoSpaceDE/>
      <w:autoSpaceDN/>
      <w:adjustRightInd/>
      <w:ind w:left="720"/>
      <w:contextualSpacing/>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230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prom@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SAA</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 Brinati</cp:lastModifiedBy>
  <cp:revision>2</cp:revision>
  <cp:lastPrinted>2011-07-21T16:55:00Z</cp:lastPrinted>
  <dcterms:created xsi:type="dcterms:W3CDTF">2016-04-05T21:32:00Z</dcterms:created>
  <dcterms:modified xsi:type="dcterms:W3CDTF">2016-04-05T21:32:00Z</dcterms:modified>
</cp:coreProperties>
</file>